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customXml/itemProps8.xml" ContentType="application/vnd.openxmlformats-officedocument.customXmlProperties+xml"/>
  <Override PartName="/customXml/itemProps80.xml" ContentType="application/vnd.openxmlformats-officedocument.customXmlProperties+xml"/>
  <Override PartName="/customXml/itemProps81.xml" ContentType="application/vnd.openxmlformats-officedocument.customXmlProperties+xml"/>
  <Override PartName="/customXml/itemProps82.xml" ContentType="application/vnd.openxmlformats-officedocument.customXmlProperties+xml"/>
  <Override PartName="/customXml/itemProps83.xml" ContentType="application/vnd.openxmlformats-officedocument.customXmlProperties+xml"/>
  <Override PartName="/customXml/itemProps84.xml" ContentType="application/vnd.openxmlformats-officedocument.customXmlProperties+xml"/>
  <Override PartName="/customXml/itemProps85.xml" ContentType="application/vnd.openxmlformats-officedocument.customXmlProperties+xml"/>
  <Override PartName="/customXml/itemProps86.xml" ContentType="application/vnd.openxmlformats-officedocument.customXmlProperties+xml"/>
  <Override PartName="/customXml/itemProps87.xml" ContentType="application/vnd.openxmlformats-officedocument.customXmlProperties+xml"/>
  <Override PartName="/customXml/itemProps88.xml" ContentType="application/vnd.openxmlformats-officedocument.customXmlProperties+xml"/>
  <Override PartName="/customXml/itemProps89.xml" ContentType="application/vnd.openxmlformats-officedocument.customXmlProperties+xml"/>
  <Override PartName="/customXml/itemProps9.xml" ContentType="application/vnd.openxmlformats-officedocument.customXmlProperties+xml"/>
  <Override PartName="/customXml/itemProps90.xml" ContentType="application/vnd.openxmlformats-officedocument.customXmlProperties+xml"/>
  <Override PartName="/customXml/itemProps91.xml" ContentType="application/vnd.openxmlformats-officedocument.customXmlProperties+xml"/>
  <Override PartName="/customXml/itemProps92.xml" ContentType="application/vnd.openxmlformats-officedocument.customXmlProperties+xml"/>
  <Override PartName="/customXml/itemProps93.xml" ContentType="application/vnd.openxmlformats-officedocument.customXmlProperties+xml"/>
  <Override PartName="/customXml/itemProps94.xml" ContentType="application/vnd.openxmlformats-officedocument.customXmlProperties+xml"/>
  <Override PartName="/customXml/itemProps9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ascii="方正小标宋_GBK" w:hAnsi="方正小标宋_GBK" w:eastAsia="方正小标宋_GBK" w:cs="方正小标宋_GBK"/>
          <w:color w:val="000000"/>
          <w:sz w:val="44"/>
        </w:rPr>
        <w:t>廊坊市发展和改革委员会2023年部门预算信息公开情况说明</w:t>
      </w:r>
    </w:p>
    <w:p>
      <w:pPr>
        <w:spacing w:line="500" w:lineRule="exact"/>
        <w:ind w:firstLine="560"/>
      </w:pPr>
      <w:r>
        <w:rPr>
          <w:rFonts w:eastAsia="方正仿宋_GBK"/>
          <w:color w:val="000000"/>
          <w:sz w:val="28"/>
        </w:rPr>
        <w:t>按照《预算法》、《地方预决算公开操作规程》和《关于进一步推进预算公开工作的实施意见》规定，现将廊坊市发展和改革委员会2023年部门预算公开如下：</w:t>
      </w:r>
    </w:p>
    <w:p>
      <w:pPr>
        <w:spacing w:before="10" w:after="10" w:line="360" w:lineRule="auto"/>
        <w:ind w:firstLine="640"/>
        <w:outlineLvl w:val="2"/>
        <w:rPr>
          <w:rFonts w:hint="eastAsia" w:eastAsia="黑体"/>
          <w:lang w:val="en-US" w:eastAsia="zh-CN"/>
        </w:rPr>
      </w:pPr>
      <w:bookmarkStart w:id="0" w:name="_Toc_3_3_0000000010"/>
      <w:r>
        <w:rPr>
          <w:rFonts w:ascii="黑体" w:hAnsi="黑体" w:eastAsia="黑体" w:cs="黑体"/>
          <w:color w:val="000000"/>
          <w:sz w:val="32"/>
        </w:rPr>
        <w:t>一、部门职责及机构设置情况</w:t>
      </w:r>
      <w:bookmarkEnd w:id="0"/>
      <w:r>
        <w:rPr>
          <w:rFonts w:hint="eastAsia" w:ascii="黑体" w:hAnsi="黑体" w:eastAsia="黑体" w:cs="黑体"/>
          <w:color w:val="000000"/>
          <w:sz w:val="32"/>
          <w:lang w:val="en-US" w:eastAsia="zh-CN"/>
        </w:rPr>
        <w:t>·</w:t>
      </w:r>
    </w:p>
    <w:p>
      <w:pPr>
        <w:ind w:firstLine="640"/>
      </w:pPr>
      <w:r>
        <w:rPr>
          <w:rFonts w:ascii="方正楷体_GBK" w:hAnsi="方正楷体_GBK" w:eastAsia="方正楷体_GBK" w:cs="方正楷体_GBK"/>
          <w:b/>
          <w:color w:val="000000"/>
          <w:sz w:val="32"/>
        </w:rPr>
        <w:t>部门职责：</w:t>
      </w:r>
    </w:p>
    <w:p>
      <w:pPr>
        <w:pStyle w:val="19"/>
        <w:rPr>
          <w:rFonts w:hint="eastAsia" w:eastAsia="方正仿宋_GBK"/>
          <w:lang w:val="en-US" w:eastAsia="zh-CN"/>
        </w:rPr>
      </w:pPr>
      <w:r>
        <w:t>根据《廊坊市发展和改革委员会职能配置、内设机构和人员编制规定》，廊坊市发展和改革委员会的主要职责是：</w:t>
      </w:r>
    </w:p>
    <w:p>
      <w:pPr>
        <w:pStyle w:val="19"/>
      </w:pPr>
      <w:r>
        <w:t>一、拟订并组织实施全市国民经济和社会发展战略、中长期规划和年度计划。牵头组织统一规划体系建设。负责市级专项规划、区域规划、空间规划与上下级发展规划的统筹衔接。拟订规范性文件。</w:t>
      </w:r>
    </w:p>
    <w:p>
      <w:pPr>
        <w:pStyle w:val="19"/>
      </w:pPr>
      <w:r>
        <w:t>二、提出加快建设全市现代化经济体系、推动高质量发展的总体目标、重大任务以及相关政策。组织开展重大战略规划、重大政策、重大工程等的评估督导，提出相关调整建议。</w:t>
      </w:r>
    </w:p>
    <w:p>
      <w:pPr>
        <w:pStyle w:val="19"/>
      </w:pPr>
      <w:r>
        <w:t>三、贯彻落实国家宏观调控政策，统筹提出全市国民经济和社会发展主要目标，监测预测预警宏观经济和社会发展态势趋势，提出经济调节政策建议。综合协调经济调节政策，牵头研究应对措施。调节经济运行，协调解决经济运行中的重大问题。拟订并组织实施有关价格政策，组织拟订由市级管理的重要商品、服务价格和重要收费标准。参与贯彻落实国家财政政策、货币政策和土地政策。</w:t>
      </w:r>
    </w:p>
    <w:p>
      <w:pPr>
        <w:pStyle w:val="19"/>
      </w:pPr>
      <w:r>
        <w:t>四、指导推进和综合协调经济体制改革有关工作，提出相关改革建议。牵头推进供给侧结构性改革。协调推进产权制度和要素市场化配置改革。落实国家完善基本经济制度政策，推进现代化市场体系建设，会同有关部门组织实施市场准入负面清单制度。牵头推进优化营商环境工作。</w:t>
      </w:r>
    </w:p>
    <w:p>
      <w:pPr>
        <w:pStyle w:val="19"/>
      </w:pPr>
      <w:r>
        <w:t>五、提出全市利用外资和境外投资的战略、规划、总量平衡和结构优化政策。牵头推进实施全市“一带一路”建设有关工作。承担统筹协调走出去有关工作。会同有关部门贯彻落实国家外商投资准入负面清单。负责全市全口径外债的总量控制、结构优化和监测工作。</w:t>
      </w:r>
    </w:p>
    <w:p>
      <w:pPr>
        <w:pStyle w:val="19"/>
      </w:pPr>
      <w:r>
        <w:t>六、负责全市投资综合管理。拟定全市固定资产投资总规模、结构调控目标和政策，按规定提出政府投资项目审批权限和修订政府核准的固定资产投资项目目录建议。安排市级预算内基本建设资金和有关发展性专项资金，按规定权限审批、审核项目，同时做好审批、审核、核准的监督管理工作。规划全市重点建设项目和生产力布局，组织推动重点建设项目。拟订并推动落实鼓励民间投资政策措施。</w:t>
      </w:r>
    </w:p>
    <w:p>
      <w:pPr>
        <w:pStyle w:val="19"/>
      </w:pPr>
      <w:r>
        <w:t>七、推进落实区域协调发展战略、新型城镇化战略和重大政策，组织拟订相关区域规划和政策。按要求做好京津冀协同发展等区域发展战略的相关工作。统协调区域合作和对口支援工作。组织编制并推动实施新型城镇化规划。</w:t>
      </w:r>
    </w:p>
    <w:p>
      <w:pPr>
        <w:pStyle w:val="19"/>
      </w:pPr>
      <w:r>
        <w:t>八、组织贯彻实施国家产业政策，拟订全市综合性产业政策。协调一二三产业发展重大问题并统筹衔接相关发展规划和重大政策。协调推进重大基设施建设发展，组织拟订并推动实施服务业及现代物流业战略规划和重大政策。综合研判消费变动趋势，拟订实施促进消费的综合性政策措施。</w:t>
      </w:r>
    </w:p>
    <w:p>
      <w:pPr>
        <w:pStyle w:val="19"/>
      </w:pPr>
      <w:r>
        <w:t>九、推动实施全市创新驱动发展战略。会同相关部门拟订全市推进创新创业的规划和政策，提出创新发展和培育经济发展新动能的政策。会同相关部门规划布局市级重大科技基础设施。组织拟订并推动实施高技术产业和战略性新兴产业及数字经济发展规划政策，协调产业升级、重大技术装备推广应用等方面的重大问题。</w:t>
      </w:r>
    </w:p>
    <w:p>
      <w:pPr>
        <w:pStyle w:val="19"/>
      </w:pPr>
      <w:r>
        <w:t>十、跟踪研判涉及经济安全、生态安全、资源安全、科技安全、社会安全等各类风险隐患，提出相关工作建议。协调落实重要工业品、原材料和重要农产品进出口调控措施。会同有关部门拟订全市储备物资品种目录、总体发展规划。</w:t>
      </w:r>
    </w:p>
    <w:p>
      <w:pPr>
        <w:pStyle w:val="19"/>
      </w:pPr>
      <w:r>
        <w:t>十一、负责全市社会发展与国民经济发展的政策衔接，协调有关重大问题。组织拟订社会发展战略、总体规划，统筹推进基本公共服务体系建设和收入分配制度改革，提出促进就业、完善社会保障与经济协调发展的政策建议。</w:t>
      </w:r>
    </w:p>
    <w:p>
      <w:pPr>
        <w:pStyle w:val="19"/>
      </w:pPr>
      <w:r>
        <w:t>十二、推进实施可持续发展战略，推动生态文明建设和改革，协调生态环境保护与修复、能源资源节约和综合利用等工作。提出健全生态保护补偿机制的政策措施，综合协调环保产业和清洁生产促进有关工作。组织实施全省下达的能源消费控制目标、任务。</w:t>
      </w:r>
    </w:p>
    <w:p>
      <w:pPr>
        <w:pStyle w:val="19"/>
      </w:pPr>
      <w:r>
        <w:t>十三、组织拟订推进全市经济建设与国防建设协调发展的战略和规划，组推进经济建设项目贯彻国防要求。</w:t>
      </w:r>
    </w:p>
    <w:p>
      <w:pPr>
        <w:pStyle w:val="19"/>
      </w:pPr>
      <w:r>
        <w:t>十四、承担市委财经委员会、市推进京津冀协同发展工作领导小组、市重点建设领导小组、市化解钢铁过剩产能工作领导小组、市服务支持雄安新区规划建设推进工作领导小组等有关具体工作。</w:t>
      </w:r>
    </w:p>
    <w:p>
      <w:pPr>
        <w:pStyle w:val="19"/>
      </w:pPr>
      <w:r>
        <w:t>十五、组织落实国家、省有关粮食流通和物资储备的法律、法规和政策拟订全市粮食流通、市级粮食储备和物资储备的政策和制度并组织实施。指导全市粮食流通和物资储备体制改革。落实国家粮食行业发展规划和政策，拟订全市粮食行业发展规划并组织实施。承担全市粮食流通宏观调控，落实国家粮食购销政策，负责粮食、食糖等物资管理工作，监测市内粮食、食糖等物资供求变化并预测预警。承担粮食安全责任制考核日常工作。研究提出市级粮食和物资储备规划、储备品种目录建议，组织实施市级粮食、食糖和救灾物资等物资的收储、轮换和日常管理，落实有关动用计划和指令。指导县级粮食和物资储备工作。负责贯彻落实国家粮食和物资储备仓储管理有关技术标准和规范。负责粮食流通、加工行业安全生产的监督管理，承担市级粮食、食糖和救灾物资等物资承储企业以及物资储备承储单位安全生产的监管责任。负责市粮食、食糖和救灾物资等物资储备基础设施建设和管理。拟订粮食流通设施建设规划并组织实施，管理有关储备基础设施和粮食流通设施投资项目。负责对市级粮食、食糖和救灾物资等物资储备的数量、质量和储存安全实施监督管理，对其他部门管理的物资储备进行监督指导。负责粮食流通监督检查，负责粮食收购、储存、运输环节粮食质量安全和原粮卫生的监督管理，组织实施全市粮食库存检查工作。贯彻国家粮食流通和物资储备有关标准、粮食质量标准和有关技术规范并监督执行。开展全市粮食和物资储备的对外合作与交流</w:t>
      </w:r>
    </w:p>
    <w:p>
      <w:pPr>
        <w:pStyle w:val="19"/>
      </w:pPr>
      <w:r>
        <w:t>十六、提出能源发展战略的建议，拟订能源发展规划、产业政策和年度指导计划并组织实施。推进能源体制改革，拟订有关改革方案并组织实施。协调能源发展和改革中重大问题。组织实施煤炭、石油、天然气、电力、新能源和可再生能源等能源，以及炼油、煤制燃料和生物质液体等燃料的产业政策和相关标准。按照规定权限，负责审批、审核市规划内和年度计划规模内能源固定资产投资项目，同时做好审批、核准、审核的监督管理。指导协调农村能源发展工作。组织推进能源重大设备研发，指导能源科技进步、成套设备的引进消化创新，组织协调相关示范工程和推广应用新产品、新技术、新设备。负责能源行业节能和资源综合利用。参与研究能源消费总量控制目标建议，指导、监督能源消费总量控制有关工作，街接能源生产建设和供需平衡。负责能源预测预警。发布能源信息，参与能源运行调节和应急保障。监管油气、新能源市场运行，规范能源市场秩序。监管油气管网设施的公平开放，参与电力市监管。参与组织推进能源国际合作。参与拟订与能源相关的资源、财税、环保及应对气候变化等政策，提出能源价格调整建议。</w:t>
      </w:r>
    </w:p>
    <w:p>
      <w:pPr>
        <w:pStyle w:val="19"/>
      </w:pPr>
      <w:r>
        <w:t>十七、负责全市口岸规划、建设、开放和管理工作。</w:t>
      </w:r>
    </w:p>
    <w:p>
      <w:pPr>
        <w:pStyle w:val="19"/>
      </w:pPr>
      <w:r>
        <w:t>十八、完成市委、市政府交办的其他任务。</w:t>
      </w:r>
    </w:p>
    <w:p>
      <w:pPr>
        <w:pStyle w:val="19"/>
      </w:pPr>
    </w:p>
    <w:p>
      <w:pPr>
        <w:ind w:firstLine="640"/>
      </w:pPr>
      <w:r>
        <w:rPr>
          <w:rFonts w:ascii="方正楷体_GBK" w:hAnsi="方正楷体_GBK" w:eastAsia="方正楷体_GBK" w:cs="方正楷体_GBK"/>
          <w:b/>
          <w:color w:val="000000"/>
          <w:sz w:val="32"/>
        </w:rPr>
        <w:t>机构设置：</w:t>
      </w:r>
    </w:p>
    <w:p>
      <w:pPr>
        <w:jc w:val="center"/>
      </w:pPr>
      <w:r>
        <w:rPr>
          <w:rFonts w:ascii="方正小标宋_GBK" w:hAnsi="方正小标宋_GBK" w:eastAsia="方正小标宋_GBK" w:cs="方正小标宋_GBK"/>
          <w:color w:val="000000"/>
          <w:sz w:val="32"/>
        </w:rPr>
        <w:t>部门机构设置情况</w:t>
      </w:r>
    </w:p>
    <w:tbl>
      <w:tblPr>
        <w:tblStyle w:val="6"/>
        <w:tblW w:w="134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5669"/>
        <w:gridCol w:w="1843"/>
        <w:gridCol w:w="2126"/>
        <w:gridCol w:w="38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67" w:hRule="atLeast"/>
          <w:tblHeader/>
          <w:jc w:val="center"/>
        </w:trPr>
        <w:tc>
          <w:tcPr>
            <w:tcW w:w="5669" w:type="dxa"/>
            <w:vAlign w:val="center"/>
          </w:tcPr>
          <w:p>
            <w:pPr>
              <w:pStyle w:val="12"/>
            </w:pPr>
            <w:r>
              <w:t>单位名称</w:t>
            </w:r>
          </w:p>
        </w:tc>
        <w:tc>
          <w:tcPr>
            <w:tcW w:w="1843" w:type="dxa"/>
            <w:vAlign w:val="center"/>
          </w:tcPr>
          <w:p>
            <w:pPr>
              <w:pStyle w:val="12"/>
            </w:pPr>
            <w:r>
              <w:t>单位性质</w:t>
            </w:r>
          </w:p>
        </w:tc>
        <w:tc>
          <w:tcPr>
            <w:tcW w:w="2126" w:type="dxa"/>
            <w:vAlign w:val="center"/>
          </w:tcPr>
          <w:p>
            <w:pPr>
              <w:pStyle w:val="12"/>
            </w:pPr>
            <w:r>
              <w:t>单位规格</w:t>
            </w:r>
          </w:p>
        </w:tc>
        <w:tc>
          <w:tcPr>
            <w:tcW w:w="3827" w:type="dxa"/>
            <w:vAlign w:val="center"/>
          </w:tcPr>
          <w:p>
            <w:pPr>
              <w:pStyle w:val="12"/>
            </w:pPr>
            <w: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52" w:hRule="atLeast"/>
          <w:jc w:val="center"/>
        </w:trPr>
        <w:tc>
          <w:tcPr>
            <w:tcW w:w="5669" w:type="dxa"/>
            <w:vAlign w:val="center"/>
          </w:tcPr>
          <w:p>
            <w:pPr>
              <w:pStyle w:val="14"/>
            </w:pPr>
            <w:r>
              <w:t>廊坊市发展和改革委员会本级</w:t>
            </w:r>
          </w:p>
        </w:tc>
        <w:tc>
          <w:tcPr>
            <w:tcW w:w="1843" w:type="dxa"/>
            <w:vAlign w:val="center"/>
          </w:tcPr>
          <w:p>
            <w:pPr>
              <w:pStyle w:val="15"/>
            </w:pPr>
            <w:r>
              <w:t>行政</w:t>
            </w:r>
          </w:p>
        </w:tc>
        <w:tc>
          <w:tcPr>
            <w:tcW w:w="2126" w:type="dxa"/>
            <w:vAlign w:val="center"/>
          </w:tcPr>
          <w:p>
            <w:pPr>
              <w:pStyle w:val="15"/>
            </w:pPr>
            <w:r>
              <w:t>正处级</w:t>
            </w:r>
          </w:p>
        </w:tc>
        <w:tc>
          <w:tcPr>
            <w:tcW w:w="3827" w:type="dxa"/>
            <w:vAlign w:val="center"/>
          </w:tcPr>
          <w:p>
            <w:pPr>
              <w:pStyle w:val="15"/>
            </w:pPr>
            <w:r>
              <w:t>财政拨款</w:t>
            </w:r>
          </w:p>
        </w:tc>
      </w:tr>
    </w:tbl>
    <w:p>
      <w:pPr>
        <w:spacing w:before="10" w:after="10" w:line="360" w:lineRule="auto"/>
        <w:ind w:firstLine="640"/>
        <w:outlineLvl w:val="2"/>
      </w:pPr>
      <w:bookmarkStart w:id="1" w:name="_Toc_3_3_0000000011"/>
      <w:r>
        <w:rPr>
          <w:rFonts w:ascii="黑体" w:hAnsi="黑体" w:eastAsia="黑体" w:cs="黑体"/>
          <w:color w:val="000000"/>
          <w:sz w:val="32"/>
        </w:rPr>
        <w:t>二、部门预算安排的总体情况</w:t>
      </w:r>
      <w:bookmarkEnd w:id="1"/>
    </w:p>
    <w:p>
      <w:pPr>
        <w:spacing w:line="500" w:lineRule="exact"/>
        <w:ind w:firstLine="560"/>
        <w:rPr>
          <w:rFonts w:eastAsia="方正仿宋_GBK"/>
          <w:color w:val="000000"/>
          <w:sz w:val="28"/>
        </w:rPr>
      </w:pPr>
      <w:r>
        <w:rPr>
          <w:rFonts w:eastAsia="方正仿宋_GBK"/>
          <w:color w:val="000000"/>
          <w:sz w:val="28"/>
        </w:rPr>
        <w:t>按照预算管理有关规定，目前我省部门预算的编制实行综合预算管理，即全部收入和支出都反映在预算中。廊坊市发展和改革委员会机关及所属事业单位的收支包含在部门预算中。</w:t>
      </w:r>
    </w:p>
    <w:p>
      <w:pPr>
        <w:spacing w:line="584" w:lineRule="exact"/>
        <w:ind w:firstLine="640"/>
        <w:rPr>
          <w:rFonts w:ascii="Times New Roman" w:hAnsi="Times New Roman" w:eastAsia="方正仿宋_GBK" w:cs="Times New Roman"/>
          <w:color w:val="auto"/>
          <w:sz w:val="28"/>
          <w:szCs w:val="24"/>
          <w:lang w:val="en-US" w:eastAsia="uk-UA" w:bidi="ar-SA"/>
        </w:rPr>
      </w:pPr>
      <w:r>
        <w:rPr>
          <w:rFonts w:ascii="Times New Roman" w:hAnsi="Times New Roman" w:eastAsia="方正仿宋_GBK" w:cs="Times New Roman"/>
          <w:color w:val="auto"/>
          <w:sz w:val="28"/>
          <w:szCs w:val="24"/>
          <w:lang w:val="en-US" w:eastAsia="uk-UA" w:bidi="ar-SA"/>
        </w:rPr>
        <w:t>1、收入说明</w:t>
      </w:r>
    </w:p>
    <w:p>
      <w:pPr>
        <w:spacing w:line="584" w:lineRule="exact"/>
        <w:ind w:firstLine="640"/>
        <w:rPr>
          <w:rFonts w:ascii="Times New Roman" w:hAnsi="Times New Roman" w:eastAsia="方正仿宋_GBK" w:cs="Times New Roman"/>
          <w:color w:val="auto"/>
          <w:sz w:val="28"/>
          <w:szCs w:val="24"/>
          <w:lang w:val="en-US" w:eastAsia="uk-UA" w:bidi="ar-SA"/>
        </w:rPr>
      </w:pPr>
      <w:r>
        <w:rPr>
          <w:rFonts w:ascii="Times New Roman" w:hAnsi="Times New Roman" w:eastAsia="方正仿宋_GBK" w:cs="Times New Roman"/>
          <w:color w:val="auto"/>
          <w:sz w:val="28"/>
          <w:szCs w:val="24"/>
          <w:lang w:val="en-US" w:eastAsia="uk-UA" w:bidi="ar-SA"/>
        </w:rPr>
        <w:t>反映本部门当年全部收入。20</w:t>
      </w:r>
      <w:r>
        <w:rPr>
          <w:rFonts w:hint="eastAsia" w:ascii="Times New Roman" w:hAnsi="Times New Roman" w:eastAsia="方正仿宋_GBK" w:cs="Times New Roman"/>
          <w:color w:val="auto"/>
          <w:sz w:val="28"/>
          <w:szCs w:val="24"/>
          <w:lang w:val="en-US" w:eastAsia="uk-UA" w:bidi="ar-SA"/>
        </w:rPr>
        <w:t>2</w:t>
      </w:r>
      <w:r>
        <w:rPr>
          <w:rFonts w:hint="eastAsia" w:eastAsia="方正仿宋_GBK" w:cs="Times New Roman"/>
          <w:color w:val="auto"/>
          <w:sz w:val="28"/>
          <w:szCs w:val="24"/>
          <w:lang w:val="en-US" w:eastAsia="zh-CN" w:bidi="ar-SA"/>
        </w:rPr>
        <w:t>3</w:t>
      </w:r>
      <w:r>
        <w:rPr>
          <w:rFonts w:ascii="Times New Roman" w:hAnsi="Times New Roman" w:eastAsia="方正仿宋_GBK" w:cs="Times New Roman"/>
          <w:color w:val="auto"/>
          <w:sz w:val="28"/>
          <w:szCs w:val="24"/>
          <w:lang w:val="en-US" w:eastAsia="uk-UA" w:bidi="ar-SA"/>
        </w:rPr>
        <w:t>年预算收入</w:t>
      </w:r>
      <w:r>
        <w:rPr>
          <w:rFonts w:hint="eastAsia" w:eastAsia="方正仿宋_GBK" w:cs="Times New Roman"/>
          <w:color w:val="auto"/>
          <w:sz w:val="28"/>
          <w:szCs w:val="24"/>
          <w:lang w:val="en-US" w:eastAsia="zh-CN" w:bidi="ar-SA"/>
        </w:rPr>
        <w:t>101231.09</w:t>
      </w:r>
      <w:r>
        <w:rPr>
          <w:rFonts w:ascii="Times New Roman" w:hAnsi="Times New Roman" w:eastAsia="方正仿宋_GBK" w:cs="Times New Roman"/>
          <w:color w:val="auto"/>
          <w:sz w:val="28"/>
          <w:szCs w:val="24"/>
          <w:lang w:val="en-US" w:eastAsia="uk-UA" w:bidi="ar-SA"/>
        </w:rPr>
        <w:t>万元，其中：一般公共预算收入</w:t>
      </w:r>
      <w:r>
        <w:rPr>
          <w:rFonts w:hint="eastAsia" w:eastAsia="方正仿宋_GBK" w:cs="Times New Roman"/>
          <w:color w:val="auto"/>
          <w:sz w:val="28"/>
          <w:szCs w:val="24"/>
          <w:lang w:val="en-US" w:eastAsia="zh-CN" w:bidi="ar-SA"/>
        </w:rPr>
        <w:t>9231.09</w:t>
      </w:r>
      <w:r>
        <w:rPr>
          <w:rFonts w:ascii="Times New Roman" w:hAnsi="Times New Roman" w:eastAsia="方正仿宋_GBK" w:cs="Times New Roman"/>
          <w:color w:val="auto"/>
          <w:sz w:val="28"/>
          <w:szCs w:val="24"/>
          <w:lang w:val="en-US" w:eastAsia="uk-UA" w:bidi="ar-SA"/>
        </w:rPr>
        <w:t>万元，基金预算收入</w:t>
      </w:r>
      <w:r>
        <w:rPr>
          <w:rFonts w:hint="eastAsia" w:ascii="Times New Roman" w:hAnsi="Times New Roman" w:eastAsia="方正仿宋_GBK" w:cs="Times New Roman"/>
          <w:color w:val="auto"/>
          <w:sz w:val="28"/>
          <w:szCs w:val="24"/>
          <w:lang w:val="en-US" w:eastAsia="zh-CN" w:bidi="ar-SA"/>
        </w:rPr>
        <w:t>0</w:t>
      </w:r>
      <w:r>
        <w:rPr>
          <w:rFonts w:ascii="Times New Roman" w:hAnsi="Times New Roman" w:eastAsia="方正仿宋_GBK" w:cs="Times New Roman"/>
          <w:color w:val="auto"/>
          <w:sz w:val="28"/>
          <w:szCs w:val="24"/>
          <w:lang w:val="en-US" w:eastAsia="uk-UA" w:bidi="ar-SA"/>
        </w:rPr>
        <w:t>万元，财政专户核拨收入</w:t>
      </w:r>
      <w:r>
        <w:rPr>
          <w:rFonts w:hint="eastAsia" w:ascii="Times New Roman" w:hAnsi="Times New Roman" w:eastAsia="方正仿宋_GBK" w:cs="Times New Roman"/>
          <w:color w:val="auto"/>
          <w:sz w:val="28"/>
          <w:szCs w:val="24"/>
          <w:lang w:val="en-US" w:eastAsia="zh-CN" w:bidi="ar-SA"/>
        </w:rPr>
        <w:t>0</w:t>
      </w:r>
      <w:r>
        <w:rPr>
          <w:rFonts w:ascii="Times New Roman" w:hAnsi="Times New Roman" w:eastAsia="方正仿宋_GBK" w:cs="Times New Roman"/>
          <w:color w:val="auto"/>
          <w:sz w:val="28"/>
          <w:szCs w:val="24"/>
          <w:lang w:val="en-US" w:eastAsia="uk-UA" w:bidi="ar-SA"/>
        </w:rPr>
        <w:t>万元，其他来源收入</w:t>
      </w:r>
      <w:r>
        <w:rPr>
          <w:rFonts w:hint="eastAsia" w:ascii="Times New Roman" w:hAnsi="Times New Roman" w:eastAsia="方正仿宋_GBK" w:cs="Times New Roman"/>
          <w:color w:val="auto"/>
          <w:sz w:val="28"/>
          <w:szCs w:val="24"/>
          <w:lang w:val="en-US" w:eastAsia="zh-CN" w:bidi="ar-SA"/>
        </w:rPr>
        <w:t>0</w:t>
      </w:r>
      <w:r>
        <w:rPr>
          <w:rFonts w:ascii="Times New Roman" w:hAnsi="Times New Roman" w:eastAsia="方正仿宋_GBK" w:cs="Times New Roman"/>
          <w:color w:val="auto"/>
          <w:sz w:val="28"/>
          <w:szCs w:val="24"/>
          <w:lang w:val="en-US" w:eastAsia="uk-UA" w:bidi="ar-SA"/>
        </w:rPr>
        <w:t>万元</w:t>
      </w:r>
      <w:r>
        <w:rPr>
          <w:rFonts w:hint="eastAsia" w:ascii="Times New Roman" w:hAnsi="Times New Roman" w:eastAsia="方正仿宋_GBK" w:cs="Times New Roman"/>
          <w:color w:val="auto"/>
          <w:sz w:val="28"/>
          <w:szCs w:val="24"/>
          <w:lang w:val="en-US" w:eastAsia="uk-UA" w:bidi="ar-SA"/>
        </w:rPr>
        <w:t>，</w:t>
      </w:r>
      <w:r>
        <w:rPr>
          <w:rFonts w:ascii="Times New Roman" w:hAnsi="Times New Roman" w:eastAsia="方正仿宋_GBK" w:cs="Times New Roman"/>
          <w:color w:val="auto"/>
          <w:sz w:val="28"/>
          <w:szCs w:val="24"/>
          <w:lang w:val="en-US" w:eastAsia="uk-UA" w:bidi="ar-SA"/>
        </w:rPr>
        <w:t>上年结转</w:t>
      </w:r>
      <w:r>
        <w:rPr>
          <w:rFonts w:hint="eastAsia" w:eastAsia="方正仿宋_GBK" w:cs="Times New Roman"/>
          <w:color w:val="auto"/>
          <w:sz w:val="28"/>
          <w:szCs w:val="24"/>
          <w:lang w:val="en-US" w:eastAsia="zh-CN" w:bidi="ar-SA"/>
        </w:rPr>
        <w:t>92000</w:t>
      </w:r>
      <w:r>
        <w:rPr>
          <w:rFonts w:hint="eastAsia" w:ascii="Times New Roman" w:hAnsi="Times New Roman" w:eastAsia="方正仿宋_GBK" w:cs="Times New Roman"/>
          <w:color w:val="auto"/>
          <w:sz w:val="28"/>
          <w:szCs w:val="24"/>
          <w:lang w:val="en-US" w:eastAsia="uk-UA" w:bidi="ar-SA"/>
        </w:rPr>
        <w:t>万元</w:t>
      </w:r>
      <w:r>
        <w:rPr>
          <w:rFonts w:ascii="Times New Roman" w:hAnsi="Times New Roman" w:eastAsia="方正仿宋_GBK" w:cs="Times New Roman"/>
          <w:color w:val="auto"/>
          <w:sz w:val="28"/>
          <w:szCs w:val="24"/>
          <w:lang w:val="en-US" w:eastAsia="uk-UA" w:bidi="ar-SA"/>
        </w:rPr>
        <w:t>。</w:t>
      </w:r>
    </w:p>
    <w:p>
      <w:pPr>
        <w:spacing w:line="584" w:lineRule="exact"/>
        <w:ind w:firstLine="640"/>
        <w:rPr>
          <w:rFonts w:ascii="Times New Roman" w:hAnsi="Times New Roman" w:eastAsia="方正仿宋_GBK" w:cs="Times New Roman"/>
          <w:color w:val="auto"/>
          <w:sz w:val="28"/>
          <w:szCs w:val="24"/>
          <w:lang w:val="en-US" w:eastAsia="uk-UA" w:bidi="ar-SA"/>
        </w:rPr>
      </w:pPr>
      <w:r>
        <w:rPr>
          <w:rFonts w:ascii="Times New Roman" w:hAnsi="Times New Roman" w:eastAsia="方正仿宋_GBK" w:cs="Times New Roman"/>
          <w:color w:val="auto"/>
          <w:sz w:val="28"/>
          <w:szCs w:val="24"/>
          <w:lang w:val="en-US" w:eastAsia="uk-UA" w:bidi="ar-SA"/>
        </w:rPr>
        <w:t>2、支出说明</w:t>
      </w:r>
    </w:p>
    <w:p>
      <w:pPr>
        <w:spacing w:line="584" w:lineRule="exact"/>
        <w:ind w:firstLine="640"/>
        <w:rPr>
          <w:rFonts w:ascii="Times New Roman" w:hAnsi="Times New Roman" w:eastAsia="方正仿宋_GBK" w:cs="Times New Roman"/>
          <w:color w:val="auto"/>
          <w:sz w:val="28"/>
          <w:szCs w:val="24"/>
          <w:lang w:val="en-US" w:eastAsia="uk-UA" w:bidi="ar-SA"/>
        </w:rPr>
      </w:pPr>
      <w:r>
        <w:rPr>
          <w:rFonts w:ascii="Times New Roman" w:hAnsi="Times New Roman" w:eastAsia="方正仿宋_GBK" w:cs="Times New Roman"/>
          <w:color w:val="auto"/>
          <w:sz w:val="28"/>
          <w:szCs w:val="24"/>
          <w:lang w:val="en-US" w:eastAsia="uk-UA" w:bidi="ar-SA"/>
        </w:rPr>
        <w:t>收支预算总表支出栏、基本支出表、项目支出表按经济分类和支出功能分类科目编制，反映廊坊市</w:t>
      </w:r>
      <w:r>
        <w:rPr>
          <w:rFonts w:hint="eastAsia" w:ascii="Times New Roman" w:hAnsi="Times New Roman" w:eastAsia="方正仿宋_GBK" w:cs="Times New Roman"/>
          <w:color w:val="auto"/>
          <w:sz w:val="28"/>
          <w:szCs w:val="24"/>
          <w:lang w:val="en-US" w:eastAsia="zh-CN" w:bidi="ar-SA"/>
        </w:rPr>
        <w:t>发展和改革委员会</w:t>
      </w:r>
      <w:r>
        <w:rPr>
          <w:rFonts w:ascii="Times New Roman" w:hAnsi="Times New Roman" w:eastAsia="方正仿宋_GBK" w:cs="Times New Roman"/>
          <w:color w:val="auto"/>
          <w:sz w:val="28"/>
          <w:szCs w:val="24"/>
          <w:lang w:val="en-US" w:eastAsia="uk-UA" w:bidi="ar-SA"/>
        </w:rPr>
        <w:t>年度部门预算中支出预算的总体情况。20</w:t>
      </w:r>
      <w:r>
        <w:rPr>
          <w:rFonts w:hint="eastAsia" w:ascii="Times New Roman" w:hAnsi="Times New Roman" w:eastAsia="方正仿宋_GBK" w:cs="Times New Roman"/>
          <w:color w:val="auto"/>
          <w:sz w:val="28"/>
          <w:szCs w:val="24"/>
          <w:lang w:val="en-US" w:eastAsia="uk-UA" w:bidi="ar-SA"/>
        </w:rPr>
        <w:t>2</w:t>
      </w:r>
      <w:r>
        <w:rPr>
          <w:rFonts w:hint="eastAsia" w:eastAsia="方正仿宋_GBK" w:cs="Times New Roman"/>
          <w:color w:val="auto"/>
          <w:sz w:val="28"/>
          <w:szCs w:val="24"/>
          <w:lang w:val="en-US" w:eastAsia="zh-CN" w:bidi="ar-SA"/>
        </w:rPr>
        <w:t>3</w:t>
      </w:r>
      <w:r>
        <w:rPr>
          <w:rFonts w:ascii="Times New Roman" w:hAnsi="Times New Roman" w:eastAsia="方正仿宋_GBK" w:cs="Times New Roman"/>
          <w:color w:val="auto"/>
          <w:sz w:val="28"/>
          <w:szCs w:val="24"/>
          <w:lang w:val="en-US" w:eastAsia="uk-UA" w:bidi="ar-SA"/>
        </w:rPr>
        <w:t>年支出预算</w:t>
      </w:r>
      <w:r>
        <w:rPr>
          <w:rFonts w:hint="eastAsia" w:eastAsia="方正仿宋_GBK" w:cs="Times New Roman"/>
          <w:color w:val="auto"/>
          <w:sz w:val="28"/>
          <w:szCs w:val="24"/>
          <w:lang w:val="en-US" w:eastAsia="zh-CN" w:bidi="ar-SA"/>
        </w:rPr>
        <w:t>101231.09</w:t>
      </w:r>
      <w:r>
        <w:rPr>
          <w:rFonts w:ascii="Times New Roman" w:hAnsi="Times New Roman" w:eastAsia="方正仿宋_GBK" w:cs="Times New Roman"/>
          <w:color w:val="auto"/>
          <w:sz w:val="28"/>
          <w:szCs w:val="24"/>
          <w:lang w:val="en-US" w:eastAsia="uk-UA" w:bidi="ar-SA"/>
        </w:rPr>
        <w:t>万元，其中基本支出</w:t>
      </w:r>
      <w:r>
        <w:rPr>
          <w:rFonts w:hint="eastAsia" w:eastAsia="方正仿宋_GBK" w:cs="Times New Roman"/>
          <w:color w:val="auto"/>
          <w:sz w:val="28"/>
          <w:szCs w:val="24"/>
          <w:lang w:val="en-US" w:eastAsia="zh-CN" w:bidi="ar-SA"/>
        </w:rPr>
        <w:t>5886.90</w:t>
      </w:r>
      <w:r>
        <w:rPr>
          <w:rFonts w:ascii="Times New Roman" w:hAnsi="Times New Roman" w:eastAsia="方正仿宋_GBK" w:cs="Times New Roman"/>
          <w:color w:val="auto"/>
          <w:sz w:val="28"/>
          <w:szCs w:val="24"/>
          <w:lang w:val="en-US" w:eastAsia="uk-UA" w:bidi="ar-SA"/>
        </w:rPr>
        <w:t>万元，包括人员类项目经费</w:t>
      </w:r>
      <w:r>
        <w:rPr>
          <w:rFonts w:hint="eastAsia" w:eastAsia="方正仿宋_GBK" w:cs="Times New Roman"/>
          <w:color w:val="auto"/>
          <w:sz w:val="28"/>
          <w:szCs w:val="24"/>
          <w:lang w:val="en-US" w:eastAsia="zh-CN" w:bidi="ar-SA"/>
        </w:rPr>
        <w:t>5285.96</w:t>
      </w:r>
      <w:r>
        <w:rPr>
          <w:rFonts w:ascii="Times New Roman" w:hAnsi="Times New Roman" w:eastAsia="方正仿宋_GBK" w:cs="Times New Roman"/>
          <w:color w:val="auto"/>
          <w:sz w:val="28"/>
          <w:szCs w:val="24"/>
          <w:lang w:val="en-US" w:eastAsia="uk-UA" w:bidi="ar-SA"/>
        </w:rPr>
        <w:t>万元和</w:t>
      </w:r>
      <w:r>
        <w:rPr>
          <w:rFonts w:hint="eastAsia" w:ascii="Times New Roman" w:hAnsi="Times New Roman" w:eastAsia="方正仿宋_GBK" w:cs="Times New Roman"/>
          <w:color w:val="auto"/>
          <w:sz w:val="28"/>
          <w:szCs w:val="24"/>
          <w:lang w:val="en-US" w:eastAsia="uk-UA" w:bidi="ar-SA"/>
        </w:rPr>
        <w:t>运转类</w:t>
      </w:r>
      <w:r>
        <w:rPr>
          <w:rFonts w:ascii="Times New Roman" w:hAnsi="Times New Roman" w:eastAsia="方正仿宋_GBK" w:cs="Times New Roman"/>
          <w:color w:val="auto"/>
          <w:sz w:val="28"/>
          <w:szCs w:val="24"/>
          <w:lang w:val="en-US" w:eastAsia="uk-UA" w:bidi="ar-SA"/>
        </w:rPr>
        <w:t>公用项目经费</w:t>
      </w:r>
      <w:r>
        <w:rPr>
          <w:rFonts w:hint="eastAsia" w:eastAsia="方正仿宋_GBK" w:cs="Times New Roman"/>
          <w:color w:val="auto"/>
          <w:sz w:val="28"/>
          <w:szCs w:val="24"/>
          <w:lang w:val="en-US" w:eastAsia="zh-CN" w:bidi="ar-SA"/>
        </w:rPr>
        <w:t>600.94</w:t>
      </w:r>
      <w:r>
        <w:rPr>
          <w:rFonts w:ascii="Times New Roman" w:hAnsi="Times New Roman" w:eastAsia="方正仿宋_GBK" w:cs="Times New Roman"/>
          <w:color w:val="auto"/>
          <w:sz w:val="28"/>
          <w:szCs w:val="24"/>
          <w:lang w:val="en-US" w:eastAsia="uk-UA" w:bidi="ar-SA"/>
        </w:rPr>
        <w:t>万元；运转类其他及特定目标类项目支出</w:t>
      </w:r>
      <w:r>
        <w:rPr>
          <w:rFonts w:hint="eastAsia" w:eastAsia="方正仿宋_GBK" w:cs="Times New Roman"/>
          <w:color w:val="auto"/>
          <w:sz w:val="28"/>
          <w:szCs w:val="24"/>
          <w:lang w:val="en-US" w:eastAsia="zh-CN" w:bidi="ar-SA"/>
        </w:rPr>
        <w:t>95344.19</w:t>
      </w:r>
      <w:r>
        <w:rPr>
          <w:rFonts w:ascii="Times New Roman" w:hAnsi="Times New Roman" w:eastAsia="方正仿宋_GBK" w:cs="Times New Roman"/>
          <w:color w:val="auto"/>
          <w:sz w:val="28"/>
          <w:szCs w:val="24"/>
          <w:lang w:val="en-US" w:eastAsia="uk-UA" w:bidi="ar-SA"/>
        </w:rPr>
        <w:t>万元，包括本级支出和对下补助支出，</w:t>
      </w:r>
      <w:r>
        <w:rPr>
          <w:rFonts w:hint="eastAsia" w:ascii="Times New Roman" w:hAnsi="Times New Roman" w:eastAsia="方正仿宋_GBK" w:cs="Times New Roman"/>
          <w:color w:val="auto"/>
          <w:sz w:val="28"/>
          <w:szCs w:val="24"/>
          <w:lang w:val="en-US" w:eastAsia="uk-UA" w:bidi="ar-SA"/>
        </w:rPr>
        <w:t>主要为</w:t>
      </w:r>
      <w:r>
        <w:rPr>
          <w:rFonts w:hint="eastAsia" w:eastAsia="方正仿宋_GBK" w:cs="Times New Roman"/>
          <w:color w:val="auto"/>
          <w:sz w:val="28"/>
          <w:szCs w:val="24"/>
          <w:lang w:val="en-US" w:eastAsia="zh-CN" w:bidi="ar-SA"/>
        </w:rPr>
        <w:t>促进人工智能产业“算力券”奖励专项资金、</w:t>
      </w:r>
      <w:r>
        <w:rPr>
          <w:rFonts w:hint="eastAsia" w:ascii="Times New Roman" w:hAnsi="Times New Roman" w:eastAsia="方正仿宋_GBK" w:cs="Times New Roman"/>
          <w:color w:val="auto"/>
          <w:sz w:val="28"/>
          <w:szCs w:val="24"/>
          <w:lang w:val="en-US" w:eastAsia="uk-UA" w:bidi="ar-SA"/>
        </w:rPr>
        <w:t>救灾物资购置经费</w:t>
      </w:r>
      <w:r>
        <w:rPr>
          <w:rFonts w:hint="eastAsia" w:ascii="Times New Roman" w:hAnsi="Times New Roman" w:eastAsia="方正仿宋_GBK" w:cs="Times New Roman"/>
          <w:color w:val="auto"/>
          <w:sz w:val="28"/>
          <w:szCs w:val="24"/>
          <w:lang w:val="en-US" w:eastAsia="zh-CN" w:bidi="ar-SA"/>
        </w:rPr>
        <w:t>、廊坊市重点项目专项资金、政府投资项目评估论证经费、</w:t>
      </w:r>
      <w:r>
        <w:rPr>
          <w:rFonts w:hint="eastAsia" w:eastAsia="方正仿宋_GBK" w:cs="Times New Roman"/>
          <w:color w:val="auto"/>
          <w:sz w:val="28"/>
          <w:szCs w:val="24"/>
          <w:lang w:val="en-US" w:eastAsia="zh-CN" w:bidi="ar-SA"/>
        </w:rPr>
        <w:t>新建城际铁路联络线一期工程（廊坊至新机场段）河北段项目市级资金</w:t>
      </w:r>
      <w:r>
        <w:rPr>
          <w:rFonts w:hint="eastAsia" w:ascii="Times New Roman" w:hAnsi="Times New Roman" w:eastAsia="方正仿宋_GBK" w:cs="Times New Roman"/>
          <w:color w:val="auto"/>
          <w:sz w:val="28"/>
          <w:szCs w:val="24"/>
          <w:lang w:val="en-US" w:eastAsia="zh-CN" w:bidi="ar-SA"/>
        </w:rPr>
        <w:t>等。</w:t>
      </w:r>
    </w:p>
    <w:p>
      <w:pPr>
        <w:spacing w:line="584" w:lineRule="exact"/>
        <w:ind w:firstLine="640"/>
        <w:rPr>
          <w:rFonts w:ascii="Times New Roman" w:hAnsi="Times New Roman" w:eastAsia="方正仿宋_GBK" w:cs="Times New Roman"/>
          <w:color w:val="auto"/>
          <w:sz w:val="28"/>
          <w:szCs w:val="24"/>
          <w:lang w:val="en-US" w:eastAsia="uk-UA" w:bidi="ar-SA"/>
        </w:rPr>
      </w:pPr>
      <w:r>
        <w:rPr>
          <w:rFonts w:ascii="Times New Roman" w:hAnsi="Times New Roman" w:eastAsia="方正仿宋_GBK" w:cs="Times New Roman"/>
          <w:color w:val="auto"/>
          <w:sz w:val="28"/>
          <w:szCs w:val="24"/>
          <w:lang w:val="en-US" w:eastAsia="uk-UA" w:bidi="ar-SA"/>
        </w:rPr>
        <w:t>3、比上年增减情况</w:t>
      </w:r>
    </w:p>
    <w:p>
      <w:pPr>
        <w:spacing w:line="584" w:lineRule="exact"/>
        <w:ind w:firstLine="640"/>
        <w:rPr>
          <w:rFonts w:ascii="Times New Roman" w:hAnsi="Times New Roman" w:eastAsia="方正仿宋_GBK" w:cs="Times New Roman"/>
          <w:color w:val="auto"/>
          <w:sz w:val="28"/>
          <w:szCs w:val="24"/>
          <w:lang w:val="en-US" w:eastAsia="uk-UA" w:bidi="ar-SA"/>
        </w:rPr>
      </w:pPr>
      <w:r>
        <w:rPr>
          <w:rFonts w:hint="eastAsia" w:ascii="Times New Roman" w:hAnsi="Times New Roman" w:eastAsia="方正仿宋_GBK" w:cs="Times New Roman"/>
          <w:color w:val="auto"/>
          <w:sz w:val="28"/>
          <w:szCs w:val="24"/>
          <w:lang w:val="en-US" w:eastAsia="zh-CN" w:bidi="ar-SA"/>
        </w:rPr>
        <w:t>202</w:t>
      </w:r>
      <w:r>
        <w:rPr>
          <w:rFonts w:hint="eastAsia" w:eastAsia="方正仿宋_GBK" w:cs="Times New Roman"/>
          <w:color w:val="auto"/>
          <w:sz w:val="28"/>
          <w:szCs w:val="24"/>
          <w:lang w:val="en-US" w:eastAsia="zh-CN" w:bidi="ar-SA"/>
        </w:rPr>
        <w:t>3</w:t>
      </w:r>
      <w:r>
        <w:rPr>
          <w:rFonts w:hint="eastAsia" w:ascii="Times New Roman" w:hAnsi="Times New Roman" w:eastAsia="方正仿宋_GBK" w:cs="Times New Roman"/>
          <w:color w:val="auto"/>
          <w:sz w:val="28"/>
          <w:szCs w:val="24"/>
          <w:lang w:val="en-US" w:eastAsia="zh-CN" w:bidi="ar-SA"/>
        </w:rPr>
        <w:t>年预算收支安排</w:t>
      </w:r>
      <w:r>
        <w:rPr>
          <w:rFonts w:hint="eastAsia" w:eastAsia="方正仿宋_GBK" w:cs="Times New Roman"/>
          <w:color w:val="auto"/>
          <w:sz w:val="28"/>
          <w:szCs w:val="24"/>
          <w:lang w:val="en-US" w:eastAsia="zh-CN" w:bidi="ar-SA"/>
        </w:rPr>
        <w:t>101231.09</w:t>
      </w:r>
      <w:r>
        <w:rPr>
          <w:rFonts w:hint="eastAsia" w:ascii="Times New Roman" w:hAnsi="Times New Roman" w:eastAsia="方正仿宋_GBK" w:cs="Times New Roman"/>
          <w:color w:val="auto"/>
          <w:sz w:val="28"/>
          <w:szCs w:val="24"/>
          <w:lang w:val="en-US" w:eastAsia="zh-CN" w:bidi="ar-SA"/>
        </w:rPr>
        <w:t>万元，较2021年预算增加</w:t>
      </w:r>
      <w:r>
        <w:rPr>
          <w:rFonts w:hint="eastAsia" w:eastAsia="方正仿宋_GBK" w:cs="Times New Roman"/>
          <w:color w:val="auto"/>
          <w:sz w:val="28"/>
          <w:szCs w:val="24"/>
          <w:lang w:val="en-US" w:eastAsia="zh-CN" w:bidi="ar-SA"/>
        </w:rPr>
        <w:t>43263.58</w:t>
      </w:r>
      <w:r>
        <w:rPr>
          <w:rFonts w:hint="eastAsia" w:ascii="Times New Roman" w:hAnsi="Times New Roman" w:eastAsia="方正仿宋_GBK" w:cs="Times New Roman"/>
          <w:color w:val="auto"/>
          <w:sz w:val="28"/>
          <w:szCs w:val="24"/>
          <w:lang w:val="en-US" w:eastAsia="zh-CN" w:bidi="ar-SA"/>
        </w:rPr>
        <w:t>万元，其中：基本支出增加</w:t>
      </w:r>
      <w:r>
        <w:rPr>
          <w:rFonts w:hint="eastAsia" w:eastAsia="方正仿宋_GBK" w:cs="Times New Roman"/>
          <w:color w:val="auto"/>
          <w:sz w:val="28"/>
          <w:szCs w:val="24"/>
          <w:lang w:val="en-US" w:eastAsia="zh-CN" w:bidi="ar-SA"/>
        </w:rPr>
        <w:t>176.41</w:t>
      </w:r>
      <w:r>
        <w:rPr>
          <w:rFonts w:hint="eastAsia" w:ascii="Times New Roman" w:hAnsi="Times New Roman" w:eastAsia="方正仿宋_GBK" w:cs="Times New Roman"/>
          <w:color w:val="auto"/>
          <w:sz w:val="28"/>
          <w:szCs w:val="24"/>
          <w:lang w:val="en-US" w:eastAsia="zh-CN" w:bidi="ar-SA"/>
        </w:rPr>
        <w:t>万元，主要为人员经费支出的增加；项目支出增</w:t>
      </w:r>
      <w:r>
        <w:rPr>
          <w:rFonts w:ascii="Times New Roman" w:hAnsi="Times New Roman" w:eastAsia="方正仿宋_GBK" w:cs="Times New Roman"/>
          <w:color w:val="auto"/>
          <w:sz w:val="28"/>
          <w:szCs w:val="24"/>
          <w:lang w:val="en-US" w:eastAsia="uk-UA" w:bidi="ar-SA"/>
        </w:rPr>
        <w:t>加</w:t>
      </w:r>
      <w:r>
        <w:rPr>
          <w:rFonts w:hint="eastAsia" w:eastAsia="方正仿宋_GBK" w:cs="Times New Roman"/>
          <w:color w:val="auto"/>
          <w:sz w:val="28"/>
          <w:szCs w:val="24"/>
          <w:lang w:val="en-US" w:eastAsia="zh-CN" w:bidi="ar-SA"/>
        </w:rPr>
        <w:t>43087.17</w:t>
      </w:r>
      <w:r>
        <w:rPr>
          <w:rFonts w:ascii="Times New Roman" w:hAnsi="Times New Roman" w:eastAsia="方正仿宋_GBK" w:cs="Times New Roman"/>
          <w:color w:val="auto"/>
          <w:sz w:val="28"/>
          <w:szCs w:val="24"/>
          <w:lang w:val="en-US" w:eastAsia="uk-UA" w:bidi="ar-SA"/>
        </w:rPr>
        <w:t>万元，主要为</w:t>
      </w:r>
      <w:r>
        <w:rPr>
          <w:rFonts w:hint="eastAsia" w:eastAsia="方正仿宋_GBK" w:cs="Times New Roman"/>
          <w:color w:val="auto"/>
          <w:sz w:val="28"/>
          <w:szCs w:val="24"/>
          <w:lang w:val="en-US" w:eastAsia="zh-CN" w:bidi="ar-SA"/>
        </w:rPr>
        <w:t>新建城际铁路联络线一期工程（廊坊至新机场段）河北段项目市级资金</w:t>
      </w:r>
      <w:r>
        <w:rPr>
          <w:rFonts w:hint="eastAsia" w:ascii="Times New Roman" w:hAnsi="Times New Roman" w:eastAsia="方正仿宋_GBK" w:cs="Times New Roman"/>
          <w:color w:val="auto"/>
          <w:sz w:val="28"/>
          <w:szCs w:val="24"/>
          <w:lang w:val="en-US" w:eastAsia="zh-CN" w:bidi="ar-SA"/>
        </w:rPr>
        <w:t>、</w:t>
      </w:r>
      <w:r>
        <w:rPr>
          <w:rFonts w:hint="eastAsia" w:eastAsia="方正仿宋_GBK" w:cs="Times New Roman"/>
          <w:color w:val="auto"/>
          <w:sz w:val="28"/>
          <w:szCs w:val="24"/>
          <w:lang w:val="en-US" w:eastAsia="zh-CN" w:bidi="ar-SA"/>
        </w:rPr>
        <w:t>促进人工智能产业“算力券”奖励专项资金</w:t>
      </w:r>
      <w:r>
        <w:rPr>
          <w:rFonts w:hint="eastAsia" w:ascii="Times New Roman" w:hAnsi="Times New Roman" w:eastAsia="方正仿宋_GBK" w:cs="Times New Roman"/>
          <w:color w:val="auto"/>
          <w:sz w:val="28"/>
          <w:szCs w:val="24"/>
          <w:lang w:val="en-US" w:eastAsia="uk-UA" w:bidi="ar-SA"/>
        </w:rPr>
        <w:t>项目</w:t>
      </w:r>
      <w:r>
        <w:rPr>
          <w:rFonts w:ascii="Times New Roman" w:hAnsi="Times New Roman" w:eastAsia="方正仿宋_GBK" w:cs="Times New Roman"/>
          <w:color w:val="auto"/>
          <w:sz w:val="28"/>
          <w:szCs w:val="24"/>
          <w:lang w:val="en-US" w:eastAsia="uk-UA" w:bidi="ar-SA"/>
        </w:rPr>
        <w:t>支出</w:t>
      </w:r>
      <w:r>
        <w:rPr>
          <w:rFonts w:hint="eastAsia" w:ascii="Times New Roman" w:hAnsi="Times New Roman" w:eastAsia="方正仿宋_GBK" w:cs="Times New Roman"/>
          <w:color w:val="auto"/>
          <w:sz w:val="28"/>
          <w:szCs w:val="24"/>
          <w:lang w:val="en-US" w:eastAsia="zh-CN" w:bidi="ar-SA"/>
        </w:rPr>
        <w:t>等</w:t>
      </w:r>
      <w:r>
        <w:rPr>
          <w:rFonts w:ascii="Times New Roman" w:hAnsi="Times New Roman" w:eastAsia="方正仿宋_GBK" w:cs="Times New Roman"/>
          <w:color w:val="auto"/>
          <w:sz w:val="28"/>
          <w:szCs w:val="24"/>
          <w:lang w:val="en-US" w:eastAsia="uk-UA" w:bidi="ar-SA"/>
        </w:rPr>
        <w:t>。</w:t>
      </w:r>
    </w:p>
    <w:p>
      <w:pPr>
        <w:numPr>
          <w:ilvl w:val="0"/>
          <w:numId w:val="1"/>
        </w:numPr>
        <w:spacing w:before="10" w:after="10" w:line="360" w:lineRule="auto"/>
        <w:ind w:firstLine="640"/>
        <w:outlineLvl w:val="2"/>
      </w:pPr>
      <w:bookmarkStart w:id="2" w:name="_Toc_3_3_0000000012"/>
      <w:r>
        <w:rPr>
          <w:rFonts w:ascii="黑体" w:hAnsi="黑体" w:eastAsia="黑体" w:cs="黑体"/>
          <w:color w:val="000000"/>
          <w:sz w:val="32"/>
        </w:rPr>
        <w:t>机关运行经费安排情况</w:t>
      </w:r>
      <w:bookmarkEnd w:id="2"/>
    </w:p>
    <w:p>
      <w:pPr>
        <w:spacing w:line="584" w:lineRule="exact"/>
        <w:ind w:firstLine="640"/>
        <w:rPr>
          <w:rFonts w:hint="eastAsia" w:ascii="Times New Roman" w:hAnsi="Times New Roman" w:eastAsia="方正仿宋_GBK" w:cs="Times New Roman"/>
          <w:color w:val="auto"/>
          <w:sz w:val="28"/>
          <w:szCs w:val="24"/>
          <w:lang w:val="en-US" w:eastAsia="zh-CN" w:bidi="ar-SA"/>
        </w:rPr>
      </w:pPr>
      <w:r>
        <w:rPr>
          <w:rFonts w:hint="eastAsia" w:ascii="Times New Roman" w:hAnsi="Times New Roman" w:eastAsia="方正仿宋_GBK" w:cs="Times New Roman"/>
          <w:color w:val="auto"/>
          <w:sz w:val="28"/>
          <w:szCs w:val="24"/>
          <w:lang w:val="en-US" w:eastAsia="zh-CN" w:bidi="ar-SA"/>
        </w:rPr>
        <w:t>2023年，我委机关运行经费共计安排600.94万元，要用于我部门办公区的日常维修、办公用房水电费、办公用房取暖费、办公用房物业管理费等日常运行支出。</w:t>
      </w:r>
    </w:p>
    <w:p>
      <w:pPr>
        <w:spacing w:before="10" w:after="10" w:line="360" w:lineRule="auto"/>
        <w:ind w:firstLine="640"/>
        <w:outlineLvl w:val="2"/>
      </w:pPr>
      <w:bookmarkStart w:id="3" w:name="_Toc_3_3_0000000013"/>
      <w:r>
        <w:rPr>
          <w:rFonts w:ascii="黑体" w:hAnsi="黑体" w:eastAsia="黑体" w:cs="黑体"/>
          <w:color w:val="000000"/>
          <w:sz w:val="32"/>
        </w:rPr>
        <w:t>四、财政拨款“三公”经费预算情况及增减变化原因</w:t>
      </w:r>
      <w:bookmarkEnd w:id="3"/>
    </w:p>
    <w:p>
      <w:pPr>
        <w:spacing w:line="584" w:lineRule="exact"/>
        <w:ind w:firstLine="640"/>
        <w:rPr>
          <w:rFonts w:hint="eastAsia" w:ascii="Times New Roman" w:hAnsi="Times New Roman" w:eastAsia="方正仿宋_GBK" w:cs="Times New Roman"/>
          <w:color w:val="auto"/>
          <w:sz w:val="28"/>
          <w:szCs w:val="24"/>
          <w:lang w:val="en-US" w:eastAsia="zh-CN" w:bidi="ar-SA"/>
        </w:rPr>
      </w:pPr>
      <w:r>
        <w:rPr>
          <w:rFonts w:hint="eastAsia" w:ascii="Times New Roman" w:hAnsi="Times New Roman" w:eastAsia="方正仿宋_GBK" w:cs="Times New Roman"/>
          <w:color w:val="auto"/>
          <w:sz w:val="28"/>
          <w:szCs w:val="24"/>
          <w:lang w:val="en-US" w:eastAsia="zh-CN" w:bidi="ar-SA"/>
        </w:rPr>
        <w:t>2023年，我委财政拨款“三公”经费预算安排46.33万元。其中，因公出国（境）费0万元；公务用车购置及运维费41.92万元（其中：公务用车购置费为0万元，公务用车运维费41.92万元)；公务接待费4.41万元。与2022年相比持平，无增减变化。</w:t>
      </w:r>
    </w:p>
    <w:p>
      <w:pPr>
        <w:spacing w:before="10" w:after="10" w:line="360" w:lineRule="auto"/>
        <w:ind w:firstLine="640"/>
        <w:outlineLvl w:val="2"/>
      </w:pPr>
      <w:bookmarkStart w:id="4" w:name="_Toc_3_3_0000000014"/>
      <w:r>
        <w:rPr>
          <w:rFonts w:ascii="黑体" w:hAnsi="黑体" w:eastAsia="黑体" w:cs="黑体"/>
          <w:color w:val="000000"/>
          <w:sz w:val="32"/>
        </w:rPr>
        <w:t>五、预算绩效信息</w:t>
      </w:r>
      <w:bookmarkEnd w:id="4"/>
    </w:p>
    <w:p>
      <w:pPr>
        <w:ind w:firstLine="640"/>
      </w:pPr>
      <w:r>
        <w:rPr>
          <w:rFonts w:ascii="方正楷体_GBK" w:hAnsi="方正楷体_GBK" w:eastAsia="方正楷体_GBK" w:cs="方正楷体_GBK"/>
          <w:b/>
          <w:color w:val="000000"/>
          <w:sz w:val="32"/>
        </w:rPr>
        <w:t>第一部分 部门整体绩效目标</w:t>
      </w:r>
    </w:p>
    <w:p>
      <w:pPr>
        <w:spacing w:line="500" w:lineRule="exact"/>
        <w:ind w:firstLine="560"/>
        <w:rPr>
          <w:b/>
          <w:bCs/>
        </w:rPr>
      </w:pPr>
      <w:r>
        <w:rPr>
          <w:rFonts w:hint="eastAsia" w:eastAsia="方正仿宋_GBK"/>
          <w:b/>
          <w:bCs/>
          <w:color w:val="000000"/>
          <w:sz w:val="28"/>
          <w:lang w:val="en-US" w:eastAsia="zh-CN"/>
        </w:rPr>
        <w:t>（一）</w:t>
      </w:r>
      <w:r>
        <w:rPr>
          <w:rFonts w:eastAsia="方正仿宋_GBK"/>
          <w:b/>
          <w:bCs/>
          <w:color w:val="000000"/>
          <w:sz w:val="28"/>
        </w:rPr>
        <w:t>总体绩效目标</w:t>
      </w:r>
    </w:p>
    <w:p>
      <w:pPr>
        <w:pStyle w:val="23"/>
      </w:pPr>
      <w:r>
        <w:t>以党中央、省委和市委关于发展改革工作的方针政策和决策部署，坚持和加强党对发展改革工作的统一领导，廊坊市发展和改革委员会2023年总体发展规划目标是：通过奖补鼓励燃气企业，提升全市采暖季期间气源保障能力，确保天然气安全稳定供应；推进我市人工智能产业发展，加快人工智能与我市实体经济深度融合，提高算力服务水平，推进算力赋能应用，引领带动产业结构调整和转型升级，打造数字经济时代核心生产力；通过廊石高铁直通车运行补贴资金拨付保障，确保廊石高铁直通车运行正常；完成2023年列入的全市省重点项目、市重点项目和亿元以上项目建设任务，加快企业节能技术升级改造，提高投资咨询评估的质量和效率；开展市级节能项目工作，推进全市产业结构调整和转型升级；保障廊坊市人民政府网网站安全、稳定、有效的运行和根据政府需求进行功能的提升建设；开展物资储备管理，确保对受灾群众实施紧急救助所需的救灾物资的日常储备及储备物资的质量安全。</w:t>
      </w:r>
    </w:p>
    <w:p>
      <w:pPr>
        <w:spacing w:line="500" w:lineRule="exact"/>
        <w:ind w:firstLine="562" w:firstLineChars="200"/>
        <w:rPr>
          <w:b/>
          <w:bCs/>
        </w:rPr>
      </w:pPr>
      <w:r>
        <w:rPr>
          <w:rFonts w:hint="eastAsia" w:eastAsia="方正仿宋_GBK"/>
          <w:b/>
          <w:bCs/>
          <w:color w:val="000000"/>
          <w:sz w:val="28"/>
          <w:lang w:val="en-US" w:eastAsia="zh-CN"/>
        </w:rPr>
        <w:t>（二）</w:t>
      </w:r>
      <w:r>
        <w:rPr>
          <w:rFonts w:eastAsia="方正仿宋_GBK"/>
          <w:b/>
          <w:bCs/>
          <w:color w:val="000000"/>
          <w:sz w:val="28"/>
        </w:rPr>
        <w:t>分项绩效目标</w:t>
      </w:r>
    </w:p>
    <w:p>
      <w:pPr>
        <w:pStyle w:val="24"/>
      </w:pPr>
      <w:r>
        <w:rPr>
          <w:rFonts w:hint="eastAsia"/>
          <w:lang w:val="en-US" w:eastAsia="zh-CN"/>
        </w:rPr>
        <w:t>1、</w:t>
      </w:r>
      <w:r>
        <w:t>迎峰度冬天然气应急保障</w:t>
      </w:r>
    </w:p>
    <w:p>
      <w:pPr>
        <w:pStyle w:val="24"/>
      </w:pPr>
      <w:r>
        <w:t>绩效目标：根据工作要求尽快完成奖补资金支付到企业，以保障天然气迎峰度冬形势总体平稳，确保人民群众生活等重点用气需求。</w:t>
      </w:r>
    </w:p>
    <w:p>
      <w:pPr>
        <w:pStyle w:val="24"/>
      </w:pPr>
      <w:r>
        <w:t>绩效指标：主要考核奖补企业数量≥1个、断气事件发生次数为0次等指标。</w:t>
      </w:r>
    </w:p>
    <w:p>
      <w:pPr>
        <w:pStyle w:val="24"/>
      </w:pPr>
      <w:r>
        <w:rPr>
          <w:rFonts w:hint="eastAsia"/>
          <w:lang w:val="en-US" w:eastAsia="zh-CN"/>
        </w:rPr>
        <w:t>2、</w:t>
      </w:r>
      <w:r>
        <w:t>促进人工智能产业“算力券”奖励专项工作</w:t>
      </w:r>
    </w:p>
    <w:p>
      <w:pPr>
        <w:pStyle w:val="24"/>
      </w:pPr>
      <w:r>
        <w:t>绩效目标：推进我市人工智能产业发展，加快人工智能与我市实体经济深度融合，提高算力服务水平，推进算力赋能应用，引领带动产业结构调整和转型升级，打造数字经济时代核心生产力。</w:t>
      </w:r>
    </w:p>
    <w:p>
      <w:pPr>
        <w:pStyle w:val="24"/>
      </w:pPr>
      <w:r>
        <w:t>绩效指标：奖励补助企业数量≥5家、高新技术产业增加值占工业增加值比重≥35%等指标。</w:t>
      </w:r>
    </w:p>
    <w:p>
      <w:pPr>
        <w:pStyle w:val="24"/>
      </w:pPr>
      <w:r>
        <w:rPr>
          <w:rFonts w:hint="eastAsia"/>
          <w:lang w:val="en-US" w:eastAsia="zh-CN"/>
        </w:rPr>
        <w:t>3、</w:t>
      </w:r>
      <w:r>
        <w:t>保障我市重点项目顺利实施</w:t>
      </w:r>
    </w:p>
    <w:p>
      <w:pPr>
        <w:pStyle w:val="24"/>
      </w:pPr>
      <w:r>
        <w:t>绩效目标：通过重点项目专项资金的拨付保障，确保全市项目建设平稳较快推进，省市重点项目、投资亿元以上项目按照计划节点顺利实施。</w:t>
      </w:r>
    </w:p>
    <w:p>
      <w:pPr>
        <w:pStyle w:val="24"/>
      </w:pPr>
      <w:r>
        <w:t>绩效指标：下发区县数量为9个、积极推进政府投资及重大项目建设等指标。</w:t>
      </w:r>
    </w:p>
    <w:p>
      <w:pPr>
        <w:pStyle w:val="24"/>
      </w:pPr>
      <w:r>
        <w:rPr>
          <w:rFonts w:hint="eastAsia"/>
          <w:lang w:val="en-US" w:eastAsia="zh-CN"/>
        </w:rPr>
        <w:t>4、</w:t>
      </w:r>
      <w:r>
        <w:t>保障廊石高铁直通车顺利开行</w:t>
      </w:r>
    </w:p>
    <w:p>
      <w:pPr>
        <w:pStyle w:val="24"/>
      </w:pPr>
      <w:r>
        <w:t>绩效目标：通过廊石高铁直通车运行补贴资金拨付保障，确保廊石高铁直通车运行正常。</w:t>
      </w:r>
    </w:p>
    <w:p>
      <w:pPr>
        <w:pStyle w:val="24"/>
      </w:pPr>
      <w:r>
        <w:t>绩效指标：实现廊坊主城区至石家庄站高铁通达≥1班次、增强省会与各市之间交通联系≥1班次等。</w:t>
      </w:r>
    </w:p>
    <w:p>
      <w:pPr>
        <w:pStyle w:val="24"/>
      </w:pPr>
      <w:r>
        <w:rPr>
          <w:rFonts w:hint="eastAsia"/>
          <w:lang w:val="en-US" w:eastAsia="zh-CN"/>
        </w:rPr>
        <w:t>5、</w:t>
      </w:r>
      <w:r>
        <w:t>推动生态环境治理工作，加快企业节能技术升级改造</w:t>
      </w:r>
    </w:p>
    <w:p>
      <w:pPr>
        <w:pStyle w:val="24"/>
      </w:pPr>
      <w:r>
        <w:t>绩效目标：通过设立专项引导资金，筛选扶持一批重大节能项目，为推动生态环境治理工作，加快企业节能技术升级改造。</w:t>
      </w:r>
    </w:p>
    <w:p>
      <w:pPr>
        <w:pStyle w:val="24"/>
      </w:pPr>
      <w:r>
        <w:t>绩效指标：拨付相关县区项目单位数量≥1家、企业节能技术能力有所提升等相关指标。</w:t>
      </w:r>
    </w:p>
    <w:p>
      <w:pPr>
        <w:pStyle w:val="24"/>
      </w:pPr>
      <w:r>
        <w:rPr>
          <w:rFonts w:hint="eastAsia"/>
          <w:lang w:val="en-US" w:eastAsia="zh-CN"/>
        </w:rPr>
        <w:t>6、</w:t>
      </w:r>
      <w:r>
        <w:t>政府投资评估论证</w:t>
      </w:r>
    </w:p>
    <w:p>
      <w:pPr>
        <w:pStyle w:val="24"/>
      </w:pPr>
      <w:r>
        <w:t>绩效目标：开展本项目主要为加强投资决策的科学性和民主性，提高投资咨询评估的质量和效率，高效集约利用财政性资金。</w:t>
      </w:r>
    </w:p>
    <w:p>
      <w:pPr>
        <w:pStyle w:val="24"/>
      </w:pPr>
      <w:r>
        <w:t>绩效指标：编制评估报告完成率达到90%以上、推进政府投资项目建设等。</w:t>
      </w:r>
    </w:p>
    <w:p>
      <w:pPr>
        <w:pStyle w:val="24"/>
      </w:pPr>
      <w:r>
        <w:rPr>
          <w:rFonts w:hint="eastAsia"/>
          <w:lang w:val="en-US" w:eastAsia="zh-CN"/>
        </w:rPr>
        <w:t>7、</w:t>
      </w:r>
      <w:r>
        <w:t>物资储备管理</w:t>
      </w:r>
    </w:p>
    <w:p>
      <w:pPr>
        <w:pStyle w:val="24"/>
      </w:pPr>
      <w:r>
        <w:t>绩效目标：开展本项目主要解决在我市以下发生自然灾害和突发公共事件时，确保对受灾群众实施紧急救助所需的救灾物资的日常储备及储备物资的质量安全。</w:t>
      </w:r>
    </w:p>
    <w:p>
      <w:pPr>
        <w:pStyle w:val="24"/>
      </w:pPr>
      <w:r>
        <w:t>绩效指标：救灾物资质量完好率达到90%以上；救灾物资购置数量按合同约定按时按量购置齐全等。</w:t>
      </w:r>
    </w:p>
    <w:p>
      <w:pPr>
        <w:pStyle w:val="24"/>
      </w:pPr>
      <w:r>
        <w:rPr>
          <w:rFonts w:hint="eastAsia"/>
          <w:lang w:val="en-US" w:eastAsia="zh-CN"/>
        </w:rPr>
        <w:t>8、</w:t>
      </w:r>
      <w:r>
        <w:t>人民政府网运行维护</w:t>
      </w:r>
    </w:p>
    <w:p>
      <w:pPr>
        <w:pStyle w:val="24"/>
      </w:pPr>
      <w:r>
        <w:t>绩效目标：保障廊坊市人民政府网、发改委网、政府信息公开平台、廊坊市人民政府网邮件系统正常运转，网络安全得到基本保障，市直各局网站得到有效监测。</w:t>
      </w:r>
    </w:p>
    <w:p>
      <w:pPr>
        <w:pStyle w:val="24"/>
      </w:pPr>
      <w:r>
        <w:t>绩效指标：年度运行维护数量是否全部完成且合格等指标。</w:t>
      </w:r>
    </w:p>
    <w:p>
      <w:pPr>
        <w:pStyle w:val="24"/>
      </w:pPr>
      <w:r>
        <w:rPr>
          <w:rFonts w:hint="eastAsia"/>
          <w:lang w:val="en-US" w:eastAsia="zh-CN"/>
        </w:rPr>
        <w:t>9、</w:t>
      </w:r>
      <w:r>
        <w:t>廊坊市新冠肺炎疫情闭环管理经费</w:t>
      </w:r>
    </w:p>
    <w:p>
      <w:pPr>
        <w:pStyle w:val="24"/>
      </w:pPr>
      <w:r>
        <w:t>绩效目标：为积极应对新冠肺炎疫情，为做好市秋冬疫情防控工作确保我市新冠肺炎疫情闭环管理工作正常运行。</w:t>
      </w:r>
    </w:p>
    <w:p>
      <w:pPr>
        <w:pStyle w:val="24"/>
      </w:pPr>
      <w:r>
        <w:t>绩效指标：保障≥1个闭环管理医学观察点疫情防控正常运行。</w:t>
      </w:r>
    </w:p>
    <w:p>
      <w:pPr>
        <w:pStyle w:val="25"/>
        <w:rPr>
          <w:b/>
          <w:bCs/>
        </w:rPr>
      </w:pPr>
      <w:r>
        <w:rPr>
          <w:rFonts w:hint="eastAsia"/>
          <w:b/>
          <w:bCs/>
          <w:lang w:eastAsia="zh-CN"/>
        </w:rPr>
        <w:t>（</w:t>
      </w:r>
      <w:r>
        <w:rPr>
          <w:rFonts w:hint="eastAsia"/>
          <w:b/>
          <w:bCs/>
          <w:lang w:val="en-US" w:eastAsia="zh-CN"/>
        </w:rPr>
        <w:t>三</w:t>
      </w:r>
      <w:r>
        <w:rPr>
          <w:rFonts w:hint="eastAsia"/>
          <w:b/>
          <w:bCs/>
          <w:lang w:eastAsia="zh-CN"/>
        </w:rPr>
        <w:t>）</w:t>
      </w:r>
      <w:r>
        <w:rPr>
          <w:b/>
          <w:bCs/>
        </w:rPr>
        <w:t>工作保障措施</w:t>
      </w:r>
    </w:p>
    <w:p>
      <w:pPr>
        <w:pStyle w:val="25"/>
      </w:pPr>
      <w:r>
        <w:rPr>
          <w:rFonts w:hint="eastAsia"/>
          <w:lang w:val="en-US" w:eastAsia="zh-CN"/>
        </w:rPr>
        <w:t>1、</w:t>
      </w:r>
      <w:r>
        <w:t>完善制度建设。按照《中华人民共和国预算法》、《市本级基本支出预算管理办法》和财政部门的要求制定本单位预算管理制度。</w:t>
      </w:r>
      <w:r>
        <w:rPr>
          <w:rFonts w:hint="eastAsia"/>
          <w:lang w:eastAsia="zh-CN"/>
        </w:rPr>
        <w:t>（</w:t>
      </w:r>
      <w:r>
        <w:rPr>
          <w:rFonts w:hint="eastAsia"/>
          <w:lang w:val="en-US" w:eastAsia="zh-CN"/>
        </w:rPr>
        <w:t>1</w:t>
      </w:r>
      <w:r>
        <w:rPr>
          <w:rFonts w:hint="eastAsia"/>
          <w:lang w:eastAsia="zh-CN"/>
        </w:rPr>
        <w:t>）</w:t>
      </w:r>
      <w:r>
        <w:t>预算编制内容包括：基本支出预算和项目支出预算。基本支出预算是预算单位为保障其机构正常运转、完成日常工作任务而编制的年度基本支出计划，包括人员经费和公用经费两部分。项目支出预算是预算单位为完成其特定的行政工作任务或事业发展目标，在基本支出预算之外编制的年度项目支出计划。</w:t>
      </w:r>
      <w:r>
        <w:rPr>
          <w:rFonts w:hint="eastAsia"/>
          <w:lang w:eastAsia="zh-CN"/>
        </w:rPr>
        <w:t>（</w:t>
      </w:r>
      <w:r>
        <w:rPr>
          <w:rFonts w:hint="eastAsia"/>
          <w:lang w:val="en-US" w:eastAsia="zh-CN"/>
        </w:rPr>
        <w:t>2</w:t>
      </w:r>
      <w:r>
        <w:rPr>
          <w:rFonts w:hint="eastAsia"/>
          <w:lang w:eastAsia="zh-CN"/>
        </w:rPr>
        <w:t>）</w:t>
      </w:r>
      <w:r>
        <w:t>预算编制严格按照预算编制基本原则进行编制，项目预算各科室及局所属单位应做到：一是要认真谋划下年度重点工作及目标任务，确保工作全面、科学，符合上级要求和我市实际。二是预算编制须提供相关政策、法律法规文件等作为项目审核立项的重要依据，如无依据，但确实为工作需要的需上报市委市政府等上级领导部门审批立项。三是预算绩效明确，主要填报事项包括职责活动、内容描述、绩效目标、绩效指标及优良中差等评价标准。四是预算资金构成合理，预算额度须有明确的资金支出构成，不同的经费支出需列出各自的金额，特别是对政府采购事项的支出，务必要标记出其采购内容及采购类型。预算经市人大批准并下达到我单位后，20日内在政府门户网站公开进行信息公开。</w:t>
      </w:r>
    </w:p>
    <w:p>
      <w:pPr>
        <w:pStyle w:val="25"/>
      </w:pPr>
      <w:r>
        <w:rPr>
          <w:rFonts w:hint="eastAsia"/>
          <w:lang w:val="en-US" w:eastAsia="zh-CN"/>
        </w:rPr>
        <w:t>2、</w:t>
      </w:r>
      <w:r>
        <w:t>加强支出管理。</w:t>
      </w:r>
      <w:r>
        <w:rPr>
          <w:rFonts w:hint="eastAsia"/>
          <w:lang w:eastAsia="zh-CN"/>
        </w:rPr>
        <w:t>（</w:t>
      </w:r>
      <w:r>
        <w:rPr>
          <w:rFonts w:hint="eastAsia"/>
          <w:lang w:val="en-US" w:eastAsia="zh-CN"/>
        </w:rPr>
        <w:t>1</w:t>
      </w:r>
      <w:r>
        <w:rPr>
          <w:rFonts w:hint="eastAsia"/>
          <w:lang w:eastAsia="zh-CN"/>
        </w:rPr>
        <w:t>）</w:t>
      </w:r>
      <w:r>
        <w:t>规范预算编制。深化零基预算改革，加强项目库建设，所有项目的征集、评审、预算下达、公开均通过项目库实施；早编细编预算，减少预算代编和预留项目；合理提高基本支出经费定额标准；试编政府采购预算，全面反映各预算单位实施采购活动的计划。</w:t>
      </w:r>
      <w:r>
        <w:rPr>
          <w:rFonts w:hint="eastAsia"/>
          <w:lang w:eastAsia="zh-CN"/>
        </w:rPr>
        <w:t>（</w:t>
      </w:r>
      <w:r>
        <w:rPr>
          <w:rFonts w:hint="eastAsia"/>
          <w:lang w:val="en-US" w:eastAsia="zh-CN"/>
        </w:rPr>
        <w:t>2</w:t>
      </w:r>
      <w:r>
        <w:rPr>
          <w:rFonts w:hint="eastAsia"/>
          <w:lang w:eastAsia="zh-CN"/>
        </w:rPr>
        <w:t>）</w:t>
      </w:r>
      <w:r>
        <w:t>清理整合专项资金。规范专项资金设立，对专项资金进行重新评估，对已到期、政策发生变化和没有项目支撑的，予以清理压减；推动部门内部、部门之间使用方向相近的资金整合，原则上一个部门一个专项。</w:t>
      </w:r>
    </w:p>
    <w:p>
      <w:pPr>
        <w:pStyle w:val="25"/>
      </w:pPr>
      <w:r>
        <w:rPr>
          <w:rFonts w:hint="eastAsia"/>
          <w:lang w:val="en-US" w:eastAsia="zh-CN"/>
        </w:rPr>
        <w:t>3、</w:t>
      </w:r>
      <w:r>
        <w:t>加强绩效运行监控。单位要加强绩效监控结果应用。对各科室绩效监控结果进行审核分析，对发现的问题和风险进行研判，督促相关部门改进管理，确保预算资金安全有效，保障党中央、国务院重大战略部署和政策目标如期实现。</w:t>
      </w:r>
    </w:p>
    <w:p>
      <w:pPr>
        <w:pStyle w:val="25"/>
      </w:pPr>
      <w:r>
        <w:rPr>
          <w:rFonts w:hint="eastAsia"/>
          <w:lang w:val="en-US" w:eastAsia="zh-CN"/>
        </w:rPr>
        <w:t>4、</w:t>
      </w:r>
      <w:r>
        <w:t>做好绩效自评工作。</w:t>
      </w:r>
      <w:r>
        <w:rPr>
          <w:rFonts w:hint="eastAsia"/>
          <w:lang w:eastAsia="zh-CN"/>
        </w:rPr>
        <w:t>（</w:t>
      </w:r>
      <w:r>
        <w:rPr>
          <w:rFonts w:hint="eastAsia"/>
          <w:lang w:val="en-US" w:eastAsia="zh-CN"/>
        </w:rPr>
        <w:t>1</w:t>
      </w:r>
      <w:r>
        <w:rPr>
          <w:rFonts w:hint="eastAsia"/>
          <w:lang w:eastAsia="zh-CN"/>
        </w:rPr>
        <w:t>）</w:t>
      </w:r>
      <w:r>
        <w:t>建立全过程绩效评价。开展预算安排事前评审；加强预算执行和绩效运行跟踪；开展单位绩效自评、财政重点再评价以及第三方评价试点，强化绩效评价结果应用和问责。</w:t>
      </w:r>
      <w:r>
        <w:rPr>
          <w:rFonts w:hint="eastAsia"/>
          <w:lang w:eastAsia="zh-CN"/>
        </w:rPr>
        <w:t>（</w:t>
      </w:r>
      <w:r>
        <w:rPr>
          <w:rFonts w:hint="eastAsia"/>
          <w:lang w:val="en-US" w:eastAsia="zh-CN"/>
        </w:rPr>
        <w:t>2</w:t>
      </w:r>
      <w:r>
        <w:rPr>
          <w:rFonts w:hint="eastAsia"/>
          <w:lang w:eastAsia="zh-CN"/>
        </w:rPr>
        <w:t>）</w:t>
      </w:r>
      <w:r>
        <w:t>自评采用打分评价的形式，得分根据定量指标、定性指标的完成情况进行评定。各科室对照年初预算设定的绩效目标及指标值，对应填报年度实际完成值，对未完成绩效目标及指标要逐条分析，说明原因，并研究提出改进措施。参考《项目支出绩效自评样表》填写相应的《项目支出绩效自评表》并撰写相关项目的绩效自评工作总结。绩效自评工作总结主要包括绩效评价工作开展情况、项目管理及绩效情况、未完成原因分析、好的经验做法、存在的问题及下一步改进措施、建议等内容。工作总结要力求内容全面，数据详实，突出特色；反映问题真实客观，提出针对性强的建议。</w:t>
      </w:r>
    </w:p>
    <w:p>
      <w:pPr>
        <w:pStyle w:val="25"/>
      </w:pPr>
      <w:r>
        <w:rPr>
          <w:rFonts w:hint="eastAsia"/>
          <w:lang w:val="en-US" w:eastAsia="zh-CN"/>
        </w:rPr>
        <w:t>5、</w:t>
      </w:r>
      <w:r>
        <w:t>规范财务资产管理。完善财务管理制度，建立健全固定资产的盘点制度，是确保各项固定资产账实相符的有力举措。依据会计制度的相关规定：单位固定资产应定期或每年至少盘点一次。具体到单位的固定资产管理中，可通过年终或者年中对固定资产数量和使用状况全面盘点的方式，来搞清单位的家底，对盘盈、盘亏的资产形成因素进行研究。同时，还应对固定资产的结构和当前的管理情况进行认真研究，对发现账实不符、盘盈、盘亏等遗留问题及时进行整改处理，以将存量资产盘活为目的，一方面可防止固定资产的积压闲置，以确保全部固定资产的安全、完整和各自功能的全面发挥；另一方面也能使会计信息质量得以提升。合理分配资源，使其功能得到最大发挥。这里的固定资产资源包括三大类：第一类，闲置的固定资产。可采用定期合理调剂的方式来提高使用率，使其功能得到正常发挥，对那些无法再调剂到实际生产活动中的固定资产，管理部门要对其妥善保管，并组织专业人员对其定期做设备保养和功能鉴定，以确保其使用功能正常。第二类，对已达到报废标准的固定资产，可通过再利用的方式处理，使其功能再次发挥。第三类，对使用中的固定资产，管理部门要及时掌握其使用情况，做好维修保养处理。总之，只有实现了资源的合理配置，才能使国有固定资产的利用率提高，最大限度的发挥其功能。</w:t>
      </w:r>
    </w:p>
    <w:p>
      <w:pPr>
        <w:pStyle w:val="25"/>
      </w:pPr>
      <w:r>
        <w:rPr>
          <w:rFonts w:hint="eastAsia"/>
          <w:lang w:val="en-US" w:eastAsia="zh-CN"/>
        </w:rPr>
        <w:t>6、</w:t>
      </w:r>
      <w:r>
        <w:t>加强内部监督。</w:t>
      </w:r>
      <w:r>
        <w:rPr>
          <w:rFonts w:hint="eastAsia"/>
          <w:lang w:eastAsia="zh-CN"/>
        </w:rPr>
        <w:t>（</w:t>
      </w:r>
      <w:r>
        <w:rPr>
          <w:rFonts w:hint="eastAsia"/>
          <w:lang w:val="en-US" w:eastAsia="zh-CN"/>
        </w:rPr>
        <w:t>1</w:t>
      </w:r>
      <w:r>
        <w:rPr>
          <w:rFonts w:hint="eastAsia"/>
          <w:lang w:eastAsia="zh-CN"/>
        </w:rPr>
        <w:t>）</w:t>
      </w:r>
      <w:r>
        <w:t>提高规范意识、纠正思想偏差，对内管工作认识再提高。</w:t>
      </w:r>
      <w:r>
        <w:rPr>
          <w:rFonts w:hint="eastAsia"/>
          <w:lang w:eastAsia="zh-CN"/>
        </w:rPr>
        <w:t>（</w:t>
      </w:r>
      <w:r>
        <w:rPr>
          <w:rFonts w:hint="eastAsia"/>
          <w:lang w:val="en-US" w:eastAsia="zh-CN"/>
        </w:rPr>
        <w:t>2</w:t>
      </w:r>
      <w:r>
        <w:rPr>
          <w:rFonts w:hint="eastAsia"/>
          <w:lang w:eastAsia="zh-CN"/>
        </w:rPr>
        <w:t>）</w:t>
      </w:r>
      <w:r>
        <w:t>加强学习交流，提升内管队伍素质。</w:t>
      </w:r>
      <w:r>
        <w:rPr>
          <w:rFonts w:hint="eastAsia"/>
          <w:lang w:eastAsia="zh-CN"/>
        </w:rPr>
        <w:t>（</w:t>
      </w:r>
      <w:r>
        <w:rPr>
          <w:rFonts w:hint="eastAsia"/>
          <w:lang w:val="en-US" w:eastAsia="zh-CN"/>
        </w:rPr>
        <w:t>3</w:t>
      </w:r>
      <w:r>
        <w:rPr>
          <w:rFonts w:hint="eastAsia"/>
          <w:lang w:eastAsia="zh-CN"/>
        </w:rPr>
        <w:t>）</w:t>
      </w:r>
      <w:r>
        <w:t>加强沟通配合，建立协作机制。</w:t>
      </w:r>
      <w:r>
        <w:rPr>
          <w:rFonts w:hint="eastAsia"/>
          <w:lang w:eastAsia="zh-CN"/>
        </w:rPr>
        <w:t>（</w:t>
      </w:r>
      <w:r>
        <w:rPr>
          <w:rFonts w:hint="eastAsia"/>
          <w:lang w:val="en-US" w:eastAsia="zh-CN"/>
        </w:rPr>
        <w:t>4</w:t>
      </w:r>
      <w:r>
        <w:rPr>
          <w:rFonts w:hint="eastAsia"/>
          <w:lang w:eastAsia="zh-CN"/>
        </w:rPr>
        <w:t>）</w:t>
      </w:r>
      <w:r>
        <w:t>监督提前、范围延伸，充分发挥内管监督职能。</w:t>
      </w:r>
    </w:p>
    <w:p>
      <w:pPr>
        <w:pStyle w:val="25"/>
        <w:sectPr>
          <w:footerReference r:id="rId3" w:type="default"/>
          <w:pgSz w:w="16840" w:h="11907" w:orient="landscape"/>
          <w:pgMar w:top="1134" w:right="1431" w:bottom="1134" w:left="1301" w:header="0" w:footer="1156" w:gutter="0"/>
          <w:cols w:space="720" w:num="1"/>
        </w:sectPr>
      </w:pPr>
      <w:r>
        <w:rPr>
          <w:rFonts w:hint="eastAsia"/>
          <w:lang w:val="en-US" w:eastAsia="zh-CN"/>
        </w:rPr>
        <w:t>7、</w:t>
      </w:r>
      <w:r>
        <w:t>加强宣传培训调研等。提升机关事业单位财务管理水平。推进行政事业单位内控制度建设，夯实财务会计工作基础，强化公务支出和资产管理，堵塞管理漏洞，降低运行成本；加强财务人员培训，提高业务能力；开展财务管理制度执行情况专项检查，及时查处违规、违纪行为，努力提高财务管理水平。</w:t>
      </w:r>
    </w:p>
    <w:p>
      <w:pPr>
        <w:pStyle w:val="25"/>
      </w:pPr>
    </w:p>
    <w:p>
      <w:pPr>
        <w:numPr>
          <w:ilvl w:val="0"/>
          <w:numId w:val="2"/>
        </w:numPr>
        <w:ind w:firstLine="640"/>
        <w:rPr>
          <w:rFonts w:hint="eastAsia" w:ascii="楷体_GB2312" w:eastAsia="楷体_GB2312" w:cs="Times New Roman"/>
          <w:b/>
          <w:sz w:val="32"/>
          <w:szCs w:val="32"/>
        </w:rPr>
      </w:pPr>
      <w:r>
        <w:rPr>
          <w:rFonts w:hint="eastAsia" w:ascii="楷体_GB2312" w:eastAsia="楷体_GB2312" w:cs="Times New Roman"/>
          <w:b/>
          <w:sz w:val="32"/>
          <w:szCs w:val="32"/>
        </w:rPr>
        <w:t>部门整体支出绩效指标</w:t>
      </w:r>
    </w:p>
    <w:p>
      <w:pPr>
        <w:numPr>
          <w:ilvl w:val="0"/>
          <w:numId w:val="0"/>
        </w:numPr>
        <w:rPr>
          <w:rFonts w:hint="eastAsia" w:ascii="楷体_GB2312" w:eastAsia="楷体_GB2312" w:cs="Times New Roman"/>
          <w:b/>
          <w:sz w:val="32"/>
          <w:szCs w:val="32"/>
        </w:rPr>
      </w:pPr>
    </w:p>
    <w:p>
      <w:pPr>
        <w:overflowPunct w:val="0"/>
        <w:adjustRightInd w:val="0"/>
        <w:snapToGrid w:val="0"/>
        <w:spacing w:after="240" w:afterLines="100" w:line="584" w:lineRule="exact"/>
        <w:jc w:val="center"/>
        <w:rPr>
          <w:rFonts w:ascii="Times New Roman" w:hAnsi="Times New Roman" w:eastAsia="方正小标宋简体" w:cs="Times New Roman"/>
          <w:color w:val="000000"/>
          <w:spacing w:val="-2"/>
          <w:sz w:val="44"/>
          <w:szCs w:val="44"/>
        </w:rPr>
      </w:pPr>
      <w:r>
        <w:rPr>
          <w:rFonts w:ascii="Times New Roman" w:hAnsi="Times New Roman" w:eastAsia="方正小标宋简体" w:cs="Times New Roman"/>
          <w:color w:val="000000"/>
          <w:spacing w:val="-2"/>
          <w:sz w:val="44"/>
          <w:szCs w:val="44"/>
        </w:rPr>
        <w:t>廊坊市发展和改革委员会</w:t>
      </w:r>
      <w:r>
        <w:rPr>
          <w:rFonts w:hint="eastAsia" w:eastAsia="方正小标宋简体" w:cs="Times New Roman"/>
          <w:color w:val="000000"/>
          <w:spacing w:val="-2"/>
          <w:sz w:val="44"/>
          <w:szCs w:val="44"/>
          <w:lang w:val="en-US" w:eastAsia="zh-CN"/>
        </w:rPr>
        <w:t>部门</w:t>
      </w:r>
      <w:r>
        <w:rPr>
          <w:rFonts w:ascii="Times New Roman" w:hAnsi="Times New Roman" w:eastAsia="方正小标宋简体" w:cs="Times New Roman"/>
          <w:color w:val="000000"/>
          <w:spacing w:val="-2"/>
          <w:sz w:val="44"/>
          <w:szCs w:val="44"/>
        </w:rPr>
        <w:t>整体支出绩效指标</w:t>
      </w:r>
    </w:p>
    <w:p>
      <w:pPr>
        <w:spacing w:line="162" w:lineRule="exact"/>
        <w:jc w:val="left"/>
      </w:pPr>
    </w:p>
    <w:tbl>
      <w:tblPr>
        <w:tblStyle w:val="38"/>
        <w:tblW w:w="13436" w:type="dxa"/>
        <w:tblInd w:w="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26"/>
        <w:gridCol w:w="729"/>
        <w:gridCol w:w="1377"/>
        <w:gridCol w:w="2784"/>
        <w:gridCol w:w="3450"/>
        <w:gridCol w:w="750"/>
        <w:gridCol w:w="645"/>
        <w:gridCol w:w="825"/>
        <w:gridCol w:w="225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42" w:hRule="atLeast"/>
        </w:trPr>
        <w:tc>
          <w:tcPr>
            <w:tcW w:w="626" w:type="dxa"/>
            <w:vMerge w:val="restart"/>
            <w:tcBorders>
              <w:bottom w:val="nil"/>
            </w:tcBorders>
            <w:noWrap/>
          </w:tcPr>
          <w:p>
            <w:pPr>
              <w:rPr>
                <w:rFonts w:eastAsia="仿宋_GB2312"/>
                <w:szCs w:val="21"/>
              </w:rPr>
            </w:pPr>
            <w:r>
              <w:rPr>
                <w:rFonts w:eastAsia="仿宋_GB2312"/>
                <w:szCs w:val="21"/>
              </w:rPr>
              <w:t>一级 指标</w:t>
            </w:r>
          </w:p>
        </w:tc>
        <w:tc>
          <w:tcPr>
            <w:tcW w:w="729" w:type="dxa"/>
            <w:vMerge w:val="restart"/>
            <w:tcBorders>
              <w:bottom w:val="nil"/>
            </w:tcBorders>
            <w:noWrap/>
          </w:tcPr>
          <w:p>
            <w:pPr>
              <w:rPr>
                <w:rFonts w:eastAsia="仿宋_GB2312"/>
                <w:szCs w:val="21"/>
              </w:rPr>
            </w:pPr>
            <w:r>
              <w:rPr>
                <w:rFonts w:eastAsia="仿宋_GB2312"/>
                <w:szCs w:val="21"/>
              </w:rPr>
              <w:t>二级</w:t>
            </w:r>
          </w:p>
          <w:p>
            <w:pPr>
              <w:rPr>
                <w:rFonts w:eastAsia="仿宋_GB2312"/>
                <w:szCs w:val="21"/>
              </w:rPr>
            </w:pPr>
            <w:r>
              <w:rPr>
                <w:rFonts w:eastAsia="仿宋_GB2312"/>
                <w:szCs w:val="21"/>
              </w:rPr>
              <w:t>指标</w:t>
            </w:r>
          </w:p>
        </w:tc>
        <w:tc>
          <w:tcPr>
            <w:tcW w:w="1377" w:type="dxa"/>
            <w:vMerge w:val="restart"/>
            <w:tcBorders>
              <w:bottom w:val="nil"/>
            </w:tcBorders>
            <w:noWrap/>
            <w:vAlign w:val="center"/>
          </w:tcPr>
          <w:p>
            <w:pPr>
              <w:jc w:val="center"/>
              <w:rPr>
                <w:rFonts w:eastAsia="仿宋_GB2312"/>
                <w:szCs w:val="21"/>
              </w:rPr>
            </w:pPr>
            <w:r>
              <w:rPr>
                <w:rFonts w:eastAsia="仿宋_GB2312"/>
                <w:szCs w:val="21"/>
              </w:rPr>
              <w:t>三级指标</w:t>
            </w:r>
          </w:p>
        </w:tc>
        <w:tc>
          <w:tcPr>
            <w:tcW w:w="2784" w:type="dxa"/>
            <w:vMerge w:val="restart"/>
            <w:tcBorders>
              <w:bottom w:val="nil"/>
            </w:tcBorders>
            <w:noWrap/>
            <w:vAlign w:val="center"/>
          </w:tcPr>
          <w:p>
            <w:pPr>
              <w:jc w:val="center"/>
              <w:rPr>
                <w:rFonts w:eastAsia="仿宋_GB2312"/>
                <w:szCs w:val="21"/>
              </w:rPr>
            </w:pPr>
            <w:r>
              <w:rPr>
                <w:rFonts w:eastAsia="仿宋_GB2312"/>
                <w:szCs w:val="21"/>
              </w:rPr>
              <w:t>评 （扣）分标准</w:t>
            </w:r>
          </w:p>
        </w:tc>
        <w:tc>
          <w:tcPr>
            <w:tcW w:w="3450" w:type="dxa"/>
            <w:vMerge w:val="restart"/>
            <w:tcBorders>
              <w:bottom w:val="nil"/>
            </w:tcBorders>
            <w:noWrap/>
            <w:vAlign w:val="center"/>
          </w:tcPr>
          <w:p>
            <w:pPr>
              <w:jc w:val="center"/>
              <w:rPr>
                <w:rFonts w:eastAsia="仿宋_GB2312"/>
                <w:szCs w:val="21"/>
              </w:rPr>
            </w:pPr>
            <w:r>
              <w:rPr>
                <w:rFonts w:eastAsia="仿宋_GB2312"/>
                <w:szCs w:val="21"/>
              </w:rPr>
              <w:t>绩效指标</w:t>
            </w:r>
          </w:p>
          <w:p>
            <w:pPr>
              <w:jc w:val="center"/>
              <w:rPr>
                <w:rFonts w:eastAsia="仿宋_GB2312"/>
                <w:szCs w:val="21"/>
              </w:rPr>
            </w:pPr>
            <w:r>
              <w:rPr>
                <w:rFonts w:eastAsia="仿宋_GB2312"/>
                <w:szCs w:val="21"/>
              </w:rPr>
              <w:t>描述</w:t>
            </w:r>
          </w:p>
        </w:tc>
        <w:tc>
          <w:tcPr>
            <w:tcW w:w="2220" w:type="dxa"/>
            <w:gridSpan w:val="3"/>
            <w:noWrap/>
          </w:tcPr>
          <w:p>
            <w:pPr>
              <w:jc w:val="center"/>
              <w:rPr>
                <w:rFonts w:eastAsia="仿宋_GB2312"/>
                <w:szCs w:val="21"/>
              </w:rPr>
            </w:pPr>
            <w:r>
              <w:rPr>
                <w:rFonts w:eastAsia="仿宋_GB2312"/>
                <w:szCs w:val="21"/>
              </w:rPr>
              <w:t>指标值</w:t>
            </w:r>
          </w:p>
        </w:tc>
        <w:tc>
          <w:tcPr>
            <w:tcW w:w="2250" w:type="dxa"/>
            <w:vMerge w:val="restart"/>
            <w:tcBorders>
              <w:bottom w:val="nil"/>
            </w:tcBorders>
            <w:noWrap/>
          </w:tcPr>
          <w:p>
            <w:pPr>
              <w:jc w:val="center"/>
              <w:rPr>
                <w:rFonts w:eastAsia="仿宋_GB2312"/>
                <w:szCs w:val="21"/>
              </w:rPr>
            </w:pPr>
            <w:r>
              <w:rPr>
                <w:rFonts w:eastAsia="仿宋_GB2312"/>
                <w:szCs w:val="21"/>
              </w:rPr>
              <w:t>指标值</w:t>
            </w:r>
          </w:p>
          <w:p>
            <w:pPr>
              <w:jc w:val="center"/>
              <w:rPr>
                <w:rFonts w:eastAsia="仿宋_GB2312"/>
                <w:szCs w:val="21"/>
              </w:rPr>
            </w:pPr>
            <w:r>
              <w:rPr>
                <w:rFonts w:eastAsia="仿宋_GB2312"/>
                <w:szCs w:val="21"/>
              </w:rPr>
              <w:t>确定依据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42" w:hRule="atLeast"/>
        </w:trPr>
        <w:tc>
          <w:tcPr>
            <w:tcW w:w="626" w:type="dxa"/>
            <w:vMerge w:val="continue"/>
            <w:tcBorders>
              <w:top w:val="nil"/>
            </w:tcBorders>
            <w:noWrap/>
          </w:tcPr>
          <w:p>
            <w:pPr>
              <w:rPr>
                <w:rFonts w:eastAsia="仿宋_GB2312"/>
                <w:szCs w:val="21"/>
              </w:rPr>
            </w:pPr>
          </w:p>
        </w:tc>
        <w:tc>
          <w:tcPr>
            <w:tcW w:w="729" w:type="dxa"/>
            <w:vMerge w:val="continue"/>
            <w:tcBorders>
              <w:top w:val="nil"/>
            </w:tcBorders>
            <w:noWrap/>
          </w:tcPr>
          <w:p>
            <w:pPr>
              <w:rPr>
                <w:rFonts w:eastAsia="仿宋_GB2312"/>
                <w:szCs w:val="21"/>
              </w:rPr>
            </w:pPr>
          </w:p>
        </w:tc>
        <w:tc>
          <w:tcPr>
            <w:tcW w:w="1377" w:type="dxa"/>
            <w:vMerge w:val="continue"/>
            <w:tcBorders>
              <w:top w:val="nil"/>
            </w:tcBorders>
            <w:noWrap/>
          </w:tcPr>
          <w:p>
            <w:pPr>
              <w:rPr>
                <w:rFonts w:eastAsia="仿宋_GB2312"/>
                <w:szCs w:val="21"/>
              </w:rPr>
            </w:pPr>
          </w:p>
        </w:tc>
        <w:tc>
          <w:tcPr>
            <w:tcW w:w="2784" w:type="dxa"/>
            <w:vMerge w:val="continue"/>
            <w:tcBorders>
              <w:top w:val="nil"/>
            </w:tcBorders>
            <w:noWrap/>
          </w:tcPr>
          <w:p>
            <w:pPr>
              <w:rPr>
                <w:rFonts w:eastAsia="仿宋_GB2312"/>
                <w:szCs w:val="21"/>
              </w:rPr>
            </w:pPr>
          </w:p>
        </w:tc>
        <w:tc>
          <w:tcPr>
            <w:tcW w:w="3450" w:type="dxa"/>
            <w:vMerge w:val="continue"/>
            <w:tcBorders>
              <w:top w:val="nil"/>
            </w:tcBorders>
            <w:noWrap/>
          </w:tcPr>
          <w:p>
            <w:pPr>
              <w:rPr>
                <w:rFonts w:eastAsia="仿宋_GB2312"/>
                <w:szCs w:val="21"/>
              </w:rPr>
            </w:pPr>
          </w:p>
        </w:tc>
        <w:tc>
          <w:tcPr>
            <w:tcW w:w="750" w:type="dxa"/>
            <w:noWrap/>
          </w:tcPr>
          <w:p>
            <w:pPr>
              <w:jc w:val="center"/>
              <w:rPr>
                <w:rFonts w:eastAsia="仿宋_GB2312"/>
                <w:szCs w:val="21"/>
              </w:rPr>
            </w:pPr>
            <w:r>
              <w:rPr>
                <w:rFonts w:eastAsia="仿宋_GB2312"/>
                <w:szCs w:val="21"/>
              </w:rPr>
              <w:t>符号</w:t>
            </w:r>
          </w:p>
        </w:tc>
        <w:tc>
          <w:tcPr>
            <w:tcW w:w="645" w:type="dxa"/>
            <w:noWrap/>
          </w:tcPr>
          <w:p>
            <w:pPr>
              <w:jc w:val="center"/>
              <w:rPr>
                <w:rFonts w:eastAsia="仿宋_GB2312"/>
                <w:szCs w:val="21"/>
              </w:rPr>
            </w:pPr>
            <w:r>
              <w:rPr>
                <w:rFonts w:eastAsia="仿宋_GB2312"/>
                <w:szCs w:val="21"/>
              </w:rPr>
              <w:t>值</w:t>
            </w:r>
          </w:p>
        </w:tc>
        <w:tc>
          <w:tcPr>
            <w:tcW w:w="825" w:type="dxa"/>
            <w:noWrap/>
          </w:tcPr>
          <w:p>
            <w:pPr>
              <w:jc w:val="center"/>
              <w:rPr>
                <w:rFonts w:eastAsia="仿宋_GB2312"/>
                <w:szCs w:val="21"/>
              </w:rPr>
            </w:pPr>
            <w:r>
              <w:rPr>
                <w:rFonts w:eastAsia="仿宋_GB2312"/>
                <w:szCs w:val="21"/>
              </w:rPr>
              <w:t>单位</w:t>
            </w:r>
          </w:p>
        </w:tc>
        <w:tc>
          <w:tcPr>
            <w:tcW w:w="2250" w:type="dxa"/>
            <w:vMerge w:val="continue"/>
            <w:tcBorders>
              <w:top w:val="nil"/>
            </w:tcBorders>
            <w:noWrap/>
          </w:tcPr>
          <w:p>
            <w:pPr>
              <w:rPr>
                <w:rFonts w:eastAsia="仿宋_GB2312"/>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009" w:hRule="atLeast"/>
        </w:trPr>
        <w:tc>
          <w:tcPr>
            <w:tcW w:w="626" w:type="dxa"/>
            <w:vMerge w:val="restart"/>
            <w:tcBorders>
              <w:bottom w:val="nil"/>
            </w:tcBorders>
            <w:noWrap/>
          </w:tcPr>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jc w:val="center"/>
              <w:rPr>
                <w:rFonts w:eastAsia="仿宋_GB2312"/>
                <w:szCs w:val="21"/>
              </w:rPr>
            </w:pPr>
            <w:r>
              <w:rPr>
                <w:rFonts w:eastAsia="仿宋_GB2312"/>
                <w:szCs w:val="21"/>
              </w:rPr>
              <w:t>部</w:t>
            </w:r>
          </w:p>
          <w:p>
            <w:pPr>
              <w:jc w:val="center"/>
              <w:rPr>
                <w:rFonts w:eastAsia="仿宋_GB2312"/>
                <w:szCs w:val="21"/>
              </w:rPr>
            </w:pPr>
            <w:r>
              <w:rPr>
                <w:rFonts w:eastAsia="仿宋_GB2312"/>
                <w:szCs w:val="21"/>
              </w:rPr>
              <w:t>门</w:t>
            </w:r>
          </w:p>
          <w:p>
            <w:pPr>
              <w:jc w:val="center"/>
              <w:rPr>
                <w:rFonts w:eastAsia="仿宋_GB2312"/>
                <w:szCs w:val="21"/>
              </w:rPr>
            </w:pPr>
            <w:r>
              <w:rPr>
                <w:rFonts w:eastAsia="仿宋_GB2312"/>
                <w:szCs w:val="21"/>
              </w:rPr>
              <w:t>产</w:t>
            </w:r>
          </w:p>
          <w:p>
            <w:pPr>
              <w:jc w:val="center"/>
              <w:rPr>
                <w:rFonts w:eastAsia="仿宋_GB2312"/>
                <w:szCs w:val="21"/>
              </w:rPr>
            </w:pPr>
            <w:r>
              <w:rPr>
                <w:rFonts w:eastAsia="仿宋_GB2312"/>
                <w:szCs w:val="21"/>
              </w:rPr>
              <w:t>出</w:t>
            </w:r>
          </w:p>
        </w:tc>
        <w:tc>
          <w:tcPr>
            <w:tcW w:w="729" w:type="dxa"/>
            <w:vMerge w:val="restart"/>
            <w:tcBorders>
              <w:bottom w:val="nil"/>
            </w:tcBorders>
            <w:noWrap/>
          </w:tcPr>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r>
              <w:rPr>
                <w:rFonts w:eastAsia="仿宋_GB2312"/>
                <w:szCs w:val="21"/>
              </w:rPr>
              <w:t>数量</w:t>
            </w:r>
          </w:p>
        </w:tc>
        <w:tc>
          <w:tcPr>
            <w:tcW w:w="1377" w:type="dxa"/>
            <w:noWrap/>
            <w:vAlign w:val="center"/>
          </w:tcPr>
          <w:p>
            <w:pPr>
              <w:jc w:val="center"/>
              <w:rPr>
                <w:rFonts w:eastAsia="仿宋_GB2312"/>
                <w:szCs w:val="21"/>
              </w:rPr>
            </w:pPr>
            <w:r>
              <w:rPr>
                <w:rFonts w:eastAsia="仿宋_GB2312"/>
                <w:szCs w:val="21"/>
              </w:rPr>
              <w:t>奖补企业数量</w:t>
            </w:r>
          </w:p>
        </w:tc>
        <w:tc>
          <w:tcPr>
            <w:tcW w:w="2784" w:type="dxa"/>
            <w:noWrap/>
            <w:vAlign w:val="center"/>
          </w:tcPr>
          <w:p>
            <w:pPr>
              <w:jc w:val="center"/>
              <w:rPr>
                <w:rFonts w:eastAsia="仿宋_GB2312"/>
                <w:szCs w:val="21"/>
              </w:rPr>
            </w:pPr>
            <w:r>
              <w:rPr>
                <w:rFonts w:hint="eastAsia" w:eastAsia="仿宋_GB2312"/>
                <w:szCs w:val="21"/>
              </w:rPr>
              <w:t>符合政府文件奖补得满分，不符合不得分</w:t>
            </w:r>
          </w:p>
        </w:tc>
        <w:tc>
          <w:tcPr>
            <w:tcW w:w="3450" w:type="dxa"/>
            <w:noWrap/>
            <w:vAlign w:val="center"/>
          </w:tcPr>
          <w:p>
            <w:pPr>
              <w:jc w:val="center"/>
              <w:rPr>
                <w:rFonts w:eastAsia="仿宋_GB2312"/>
                <w:szCs w:val="21"/>
              </w:rPr>
            </w:pPr>
            <w:r>
              <w:rPr>
                <w:rFonts w:eastAsia="仿宋_GB2312"/>
                <w:szCs w:val="21"/>
              </w:rPr>
              <w:t>主要考核</w:t>
            </w:r>
            <w:r>
              <w:rPr>
                <w:rFonts w:hint="eastAsia" w:eastAsia="仿宋_GB2312"/>
                <w:szCs w:val="21"/>
              </w:rPr>
              <w:t>天然气迎峰度冬应急保障</w:t>
            </w:r>
            <w:r>
              <w:rPr>
                <w:rFonts w:eastAsia="仿宋_GB2312"/>
                <w:szCs w:val="21"/>
              </w:rPr>
              <w:t>奖补企业数量</w:t>
            </w:r>
          </w:p>
        </w:tc>
        <w:tc>
          <w:tcPr>
            <w:tcW w:w="750" w:type="dxa"/>
            <w:noWrap/>
            <w:vAlign w:val="center"/>
          </w:tcPr>
          <w:p>
            <w:pPr>
              <w:jc w:val="center"/>
              <w:rPr>
                <w:rFonts w:eastAsia="仿宋_GB2312"/>
                <w:szCs w:val="21"/>
              </w:rPr>
            </w:pPr>
            <w:r>
              <w:rPr>
                <w:rFonts w:eastAsia="仿宋_GB2312"/>
                <w:szCs w:val="21"/>
              </w:rPr>
              <w:t>≥</w:t>
            </w:r>
          </w:p>
        </w:tc>
        <w:tc>
          <w:tcPr>
            <w:tcW w:w="645" w:type="dxa"/>
            <w:noWrap/>
            <w:vAlign w:val="center"/>
          </w:tcPr>
          <w:p>
            <w:pPr>
              <w:jc w:val="center"/>
              <w:rPr>
                <w:rFonts w:eastAsia="仿宋_GB2312"/>
                <w:szCs w:val="21"/>
              </w:rPr>
            </w:pPr>
            <w:r>
              <w:rPr>
                <w:rFonts w:hint="eastAsia" w:eastAsia="仿宋_GB2312"/>
                <w:szCs w:val="21"/>
              </w:rPr>
              <w:t>1</w:t>
            </w:r>
          </w:p>
        </w:tc>
        <w:tc>
          <w:tcPr>
            <w:tcW w:w="825" w:type="dxa"/>
            <w:noWrap/>
            <w:vAlign w:val="center"/>
          </w:tcPr>
          <w:p>
            <w:pPr>
              <w:jc w:val="center"/>
              <w:rPr>
                <w:rFonts w:eastAsia="仿宋_GB2312"/>
                <w:szCs w:val="21"/>
              </w:rPr>
            </w:pPr>
            <w:r>
              <w:rPr>
                <w:rFonts w:hint="eastAsia" w:eastAsia="仿宋_GB2312"/>
                <w:szCs w:val="21"/>
              </w:rPr>
              <w:t>家</w:t>
            </w:r>
          </w:p>
        </w:tc>
        <w:tc>
          <w:tcPr>
            <w:tcW w:w="2250" w:type="dxa"/>
            <w:noWrap/>
            <w:vAlign w:val="center"/>
          </w:tcPr>
          <w:p>
            <w:pPr>
              <w:jc w:val="center"/>
              <w:rPr>
                <w:rFonts w:eastAsia="仿宋_GB2312"/>
                <w:szCs w:val="21"/>
              </w:rPr>
            </w:pPr>
            <w:r>
              <w:rPr>
                <w:rFonts w:eastAsia="仿宋_GB2312"/>
                <w:szCs w:val="21"/>
              </w:rPr>
              <w:t>政府文件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259" w:hRule="atLeast"/>
        </w:trPr>
        <w:tc>
          <w:tcPr>
            <w:tcW w:w="626" w:type="dxa"/>
            <w:vMerge w:val="continue"/>
            <w:tcBorders>
              <w:top w:val="nil"/>
              <w:bottom w:val="nil"/>
            </w:tcBorders>
            <w:noWrap/>
          </w:tcPr>
          <w:p>
            <w:pPr>
              <w:rPr>
                <w:rFonts w:eastAsia="仿宋_GB2312"/>
                <w:szCs w:val="21"/>
              </w:rPr>
            </w:pPr>
          </w:p>
        </w:tc>
        <w:tc>
          <w:tcPr>
            <w:tcW w:w="729" w:type="dxa"/>
            <w:vMerge w:val="continue"/>
            <w:tcBorders>
              <w:top w:val="nil"/>
              <w:bottom w:val="nil"/>
            </w:tcBorders>
            <w:noWrap/>
          </w:tcPr>
          <w:p>
            <w:pPr>
              <w:jc w:val="center"/>
              <w:rPr>
                <w:rFonts w:eastAsia="仿宋_GB2312"/>
                <w:szCs w:val="21"/>
              </w:rPr>
            </w:pPr>
          </w:p>
        </w:tc>
        <w:tc>
          <w:tcPr>
            <w:tcW w:w="1377" w:type="dxa"/>
            <w:noWrap/>
            <w:vAlign w:val="center"/>
          </w:tcPr>
          <w:p>
            <w:pPr>
              <w:jc w:val="center"/>
              <w:rPr>
                <w:rFonts w:eastAsia="仿宋_GB2312"/>
                <w:szCs w:val="21"/>
              </w:rPr>
            </w:pPr>
            <w:r>
              <w:rPr>
                <w:rFonts w:hint="eastAsia" w:eastAsia="仿宋_GB2312"/>
                <w:szCs w:val="21"/>
              </w:rPr>
              <w:t>下发区县数量</w:t>
            </w:r>
          </w:p>
        </w:tc>
        <w:tc>
          <w:tcPr>
            <w:tcW w:w="2784" w:type="dxa"/>
            <w:noWrap/>
            <w:vAlign w:val="center"/>
          </w:tcPr>
          <w:p>
            <w:pPr>
              <w:jc w:val="center"/>
              <w:rPr>
                <w:rFonts w:eastAsia="仿宋_GB2312"/>
                <w:szCs w:val="21"/>
              </w:rPr>
            </w:pPr>
            <w:r>
              <w:rPr>
                <w:rFonts w:hint="eastAsia" w:eastAsia="仿宋_GB2312"/>
                <w:szCs w:val="21"/>
              </w:rPr>
              <w:t>符合要求的满分，每减少1个扣除权重的10%</w:t>
            </w:r>
          </w:p>
        </w:tc>
        <w:tc>
          <w:tcPr>
            <w:tcW w:w="3450" w:type="dxa"/>
            <w:noWrap/>
            <w:vAlign w:val="center"/>
          </w:tcPr>
          <w:p>
            <w:pPr>
              <w:jc w:val="center"/>
              <w:rPr>
                <w:rFonts w:eastAsia="仿宋_GB2312"/>
                <w:szCs w:val="21"/>
              </w:rPr>
            </w:pPr>
            <w:r>
              <w:rPr>
                <w:rFonts w:hint="eastAsia" w:eastAsia="仿宋_GB2312"/>
                <w:szCs w:val="21"/>
              </w:rPr>
              <w:t>分别为大厂县、香河县、廊坊开发区、广阳区、安次区、永清县、固安县、文安县、大城县</w:t>
            </w:r>
          </w:p>
        </w:tc>
        <w:tc>
          <w:tcPr>
            <w:tcW w:w="750" w:type="dxa"/>
            <w:noWrap/>
            <w:vAlign w:val="center"/>
          </w:tcPr>
          <w:p>
            <w:pPr>
              <w:jc w:val="center"/>
              <w:rPr>
                <w:rFonts w:eastAsia="仿宋_GB2312"/>
                <w:szCs w:val="21"/>
              </w:rPr>
            </w:pPr>
          </w:p>
          <w:p>
            <w:pPr>
              <w:jc w:val="center"/>
              <w:rPr>
                <w:rFonts w:hint="eastAsia" w:eastAsia="仿宋_GB2312"/>
                <w:szCs w:val="21"/>
                <w:lang w:eastAsia="zh-CN"/>
              </w:rPr>
            </w:pPr>
            <w:r>
              <w:rPr>
                <w:rFonts w:hint="eastAsia" w:eastAsia="仿宋_GB2312"/>
                <w:szCs w:val="21"/>
                <w:lang w:val="en-US" w:eastAsia="zh-CN"/>
              </w:rPr>
              <w:t>=</w:t>
            </w:r>
          </w:p>
        </w:tc>
        <w:tc>
          <w:tcPr>
            <w:tcW w:w="645" w:type="dxa"/>
            <w:noWrap/>
            <w:vAlign w:val="center"/>
          </w:tcPr>
          <w:p>
            <w:pPr>
              <w:jc w:val="center"/>
              <w:rPr>
                <w:rFonts w:eastAsia="仿宋_GB2312"/>
                <w:szCs w:val="21"/>
              </w:rPr>
            </w:pPr>
          </w:p>
          <w:p>
            <w:pPr>
              <w:jc w:val="center"/>
              <w:rPr>
                <w:rFonts w:eastAsia="仿宋_GB2312"/>
                <w:szCs w:val="21"/>
              </w:rPr>
            </w:pPr>
            <w:r>
              <w:rPr>
                <w:rFonts w:hint="eastAsia" w:eastAsia="仿宋_GB2312"/>
                <w:szCs w:val="21"/>
              </w:rPr>
              <w:t>9</w:t>
            </w:r>
          </w:p>
        </w:tc>
        <w:tc>
          <w:tcPr>
            <w:tcW w:w="825" w:type="dxa"/>
            <w:noWrap/>
            <w:vAlign w:val="center"/>
          </w:tcPr>
          <w:p>
            <w:pPr>
              <w:jc w:val="center"/>
              <w:rPr>
                <w:rFonts w:eastAsia="仿宋_GB2312"/>
                <w:szCs w:val="21"/>
              </w:rPr>
            </w:pPr>
          </w:p>
          <w:p>
            <w:pPr>
              <w:jc w:val="center"/>
              <w:rPr>
                <w:rFonts w:eastAsia="仿宋_GB2312"/>
                <w:szCs w:val="21"/>
              </w:rPr>
            </w:pPr>
            <w:r>
              <w:rPr>
                <w:rFonts w:hint="eastAsia" w:eastAsia="仿宋_GB2312"/>
                <w:szCs w:val="21"/>
              </w:rPr>
              <w:t>个</w:t>
            </w:r>
          </w:p>
        </w:tc>
        <w:tc>
          <w:tcPr>
            <w:tcW w:w="2250" w:type="dxa"/>
            <w:noWrap/>
            <w:vAlign w:val="center"/>
          </w:tcPr>
          <w:p>
            <w:pPr>
              <w:jc w:val="center"/>
              <w:rPr>
                <w:rFonts w:eastAsia="仿宋_GB2312"/>
                <w:szCs w:val="21"/>
              </w:rPr>
            </w:pPr>
          </w:p>
          <w:p>
            <w:pPr>
              <w:jc w:val="center"/>
              <w:rPr>
                <w:rFonts w:eastAsia="仿宋_GB2312"/>
                <w:szCs w:val="21"/>
              </w:rPr>
            </w:pPr>
            <w:r>
              <w:rPr>
                <w:rFonts w:hint="eastAsia" w:eastAsia="仿宋_GB2312"/>
                <w:szCs w:val="21"/>
              </w:rPr>
              <w:t>(廊政[2005]38号)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105" w:hRule="atLeast"/>
        </w:trPr>
        <w:tc>
          <w:tcPr>
            <w:tcW w:w="626" w:type="dxa"/>
            <w:vMerge w:val="continue"/>
            <w:tcBorders>
              <w:top w:val="nil"/>
              <w:bottom w:val="nil"/>
            </w:tcBorders>
            <w:noWrap/>
          </w:tcPr>
          <w:p>
            <w:pPr>
              <w:rPr>
                <w:rFonts w:eastAsia="仿宋_GB2312"/>
                <w:szCs w:val="21"/>
              </w:rPr>
            </w:pPr>
          </w:p>
        </w:tc>
        <w:tc>
          <w:tcPr>
            <w:tcW w:w="729" w:type="dxa"/>
            <w:vMerge w:val="continue"/>
            <w:tcBorders>
              <w:top w:val="nil"/>
              <w:bottom w:val="nil"/>
            </w:tcBorders>
            <w:noWrap/>
          </w:tcPr>
          <w:p>
            <w:pPr>
              <w:jc w:val="center"/>
              <w:rPr>
                <w:rFonts w:eastAsia="仿宋_GB2312"/>
                <w:szCs w:val="21"/>
              </w:rPr>
            </w:pPr>
          </w:p>
        </w:tc>
        <w:tc>
          <w:tcPr>
            <w:tcW w:w="1377" w:type="dxa"/>
            <w:noWrap/>
            <w:vAlign w:val="center"/>
          </w:tcPr>
          <w:p>
            <w:pPr>
              <w:jc w:val="center"/>
              <w:rPr>
                <w:rFonts w:eastAsia="仿宋_GB2312"/>
                <w:szCs w:val="21"/>
              </w:rPr>
            </w:pPr>
            <w:r>
              <w:rPr>
                <w:rFonts w:eastAsia="仿宋_GB2312"/>
                <w:szCs w:val="21"/>
              </w:rPr>
              <w:t>奖励补助</w:t>
            </w:r>
            <w:r>
              <w:rPr>
                <w:rFonts w:hint="eastAsia" w:eastAsia="仿宋_GB2312"/>
                <w:szCs w:val="21"/>
              </w:rPr>
              <w:t>企业数量</w:t>
            </w:r>
          </w:p>
        </w:tc>
        <w:tc>
          <w:tcPr>
            <w:tcW w:w="2784" w:type="dxa"/>
            <w:noWrap/>
            <w:vAlign w:val="center"/>
          </w:tcPr>
          <w:p>
            <w:pPr>
              <w:jc w:val="left"/>
              <w:rPr>
                <w:rFonts w:eastAsia="仿宋_GB2312"/>
                <w:szCs w:val="21"/>
              </w:rPr>
            </w:pPr>
            <w:r>
              <w:rPr>
                <w:rFonts w:hint="eastAsia" w:eastAsia="仿宋_GB2312"/>
                <w:szCs w:val="21"/>
                <w:highlight w:val="none"/>
              </w:rPr>
              <w:t>符合指标值得满分，不足部分按比例</w:t>
            </w:r>
            <w:r>
              <w:rPr>
                <w:rFonts w:hint="eastAsia" w:eastAsia="仿宋_GB2312"/>
                <w:szCs w:val="21"/>
                <w:highlight w:val="none"/>
                <w:lang w:val="en-US" w:eastAsia="zh-CN"/>
              </w:rPr>
              <w:t>扣减</w:t>
            </w:r>
            <w:r>
              <w:rPr>
                <w:rFonts w:hint="eastAsia" w:eastAsia="仿宋_GB2312"/>
                <w:szCs w:val="21"/>
                <w:highlight w:val="none"/>
              </w:rPr>
              <w:t>。</w:t>
            </w:r>
          </w:p>
        </w:tc>
        <w:tc>
          <w:tcPr>
            <w:tcW w:w="3450" w:type="dxa"/>
            <w:noWrap/>
            <w:vAlign w:val="center"/>
          </w:tcPr>
          <w:p>
            <w:pPr>
              <w:jc w:val="center"/>
              <w:rPr>
                <w:rFonts w:eastAsia="仿宋_GB2312"/>
                <w:szCs w:val="21"/>
              </w:rPr>
            </w:pPr>
            <w:r>
              <w:rPr>
                <w:rFonts w:hint="eastAsia" w:eastAsia="仿宋_GB2312"/>
                <w:szCs w:val="21"/>
              </w:rPr>
              <w:t>为推进我市人工智能产业发展，根据本年度奖补企业清单进行奖补。</w:t>
            </w:r>
          </w:p>
        </w:tc>
        <w:tc>
          <w:tcPr>
            <w:tcW w:w="750" w:type="dxa"/>
            <w:noWrap/>
            <w:vAlign w:val="center"/>
          </w:tcPr>
          <w:p>
            <w:pPr>
              <w:jc w:val="center"/>
              <w:rPr>
                <w:rFonts w:eastAsia="仿宋_GB2312"/>
                <w:szCs w:val="21"/>
              </w:rPr>
            </w:pPr>
            <w:r>
              <w:rPr>
                <w:rFonts w:hint="eastAsia" w:eastAsia="仿宋_GB2312"/>
                <w:szCs w:val="21"/>
              </w:rPr>
              <w:t>≥</w:t>
            </w:r>
          </w:p>
        </w:tc>
        <w:tc>
          <w:tcPr>
            <w:tcW w:w="645" w:type="dxa"/>
            <w:noWrap/>
            <w:vAlign w:val="center"/>
          </w:tcPr>
          <w:p>
            <w:pPr>
              <w:jc w:val="center"/>
              <w:rPr>
                <w:rFonts w:eastAsia="仿宋_GB2312"/>
                <w:szCs w:val="21"/>
              </w:rPr>
            </w:pPr>
            <w:r>
              <w:rPr>
                <w:rFonts w:hint="eastAsia" w:eastAsia="仿宋_GB2312"/>
                <w:szCs w:val="21"/>
              </w:rPr>
              <w:t>5</w:t>
            </w:r>
          </w:p>
        </w:tc>
        <w:tc>
          <w:tcPr>
            <w:tcW w:w="825" w:type="dxa"/>
            <w:noWrap/>
            <w:vAlign w:val="center"/>
          </w:tcPr>
          <w:p>
            <w:pPr>
              <w:jc w:val="center"/>
              <w:rPr>
                <w:rFonts w:eastAsia="仿宋_GB2312"/>
                <w:szCs w:val="21"/>
              </w:rPr>
            </w:pPr>
            <w:r>
              <w:rPr>
                <w:rFonts w:hint="eastAsia" w:eastAsia="仿宋_GB2312"/>
                <w:szCs w:val="21"/>
              </w:rPr>
              <w:t>家</w:t>
            </w:r>
          </w:p>
        </w:tc>
        <w:tc>
          <w:tcPr>
            <w:tcW w:w="2250" w:type="dxa"/>
            <w:noWrap/>
            <w:vAlign w:val="center"/>
          </w:tcPr>
          <w:p>
            <w:pPr>
              <w:jc w:val="center"/>
              <w:rPr>
                <w:rFonts w:eastAsia="仿宋_GB2312"/>
                <w:szCs w:val="21"/>
              </w:rPr>
            </w:pPr>
            <w:r>
              <w:rPr>
                <w:rFonts w:hint="eastAsia" w:eastAsia="仿宋_GB2312"/>
                <w:szCs w:val="21"/>
              </w:rPr>
              <w:t>奖补企业清单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968" w:hRule="atLeast"/>
        </w:trPr>
        <w:tc>
          <w:tcPr>
            <w:tcW w:w="626" w:type="dxa"/>
            <w:vMerge w:val="continue"/>
            <w:tcBorders>
              <w:top w:val="nil"/>
              <w:bottom w:val="nil"/>
            </w:tcBorders>
            <w:noWrap/>
          </w:tcPr>
          <w:p>
            <w:pPr>
              <w:rPr>
                <w:rFonts w:eastAsia="仿宋_GB2312"/>
                <w:szCs w:val="21"/>
              </w:rPr>
            </w:pPr>
          </w:p>
        </w:tc>
        <w:tc>
          <w:tcPr>
            <w:tcW w:w="729" w:type="dxa"/>
            <w:vMerge w:val="continue"/>
            <w:tcBorders>
              <w:top w:val="nil"/>
              <w:bottom w:val="nil"/>
            </w:tcBorders>
            <w:noWrap/>
          </w:tcPr>
          <w:p>
            <w:pPr>
              <w:jc w:val="center"/>
              <w:rPr>
                <w:rFonts w:eastAsia="仿宋_GB2312"/>
                <w:szCs w:val="21"/>
              </w:rPr>
            </w:pPr>
          </w:p>
        </w:tc>
        <w:tc>
          <w:tcPr>
            <w:tcW w:w="1377" w:type="dxa"/>
            <w:noWrap/>
            <w:vAlign w:val="center"/>
          </w:tcPr>
          <w:p>
            <w:pPr>
              <w:jc w:val="center"/>
              <w:rPr>
                <w:rFonts w:eastAsia="仿宋_GB2312"/>
                <w:szCs w:val="21"/>
              </w:rPr>
            </w:pPr>
            <w:r>
              <w:rPr>
                <w:rFonts w:hint="eastAsia" w:eastAsia="仿宋_GB2312"/>
                <w:szCs w:val="21"/>
              </w:rPr>
              <w:t>物业合同数</w:t>
            </w:r>
          </w:p>
        </w:tc>
        <w:tc>
          <w:tcPr>
            <w:tcW w:w="2784" w:type="dxa"/>
            <w:noWrap/>
            <w:vAlign w:val="center"/>
          </w:tcPr>
          <w:p>
            <w:pPr>
              <w:jc w:val="center"/>
              <w:rPr>
                <w:rFonts w:eastAsia="仿宋_GB2312"/>
                <w:szCs w:val="21"/>
              </w:rPr>
            </w:pPr>
            <w:r>
              <w:rPr>
                <w:rFonts w:hint="eastAsia" w:eastAsia="仿宋_GB2312"/>
                <w:szCs w:val="21"/>
              </w:rPr>
              <w:t>符合要求的满分，不符合不得分</w:t>
            </w:r>
          </w:p>
        </w:tc>
        <w:tc>
          <w:tcPr>
            <w:tcW w:w="3450" w:type="dxa"/>
            <w:noWrap/>
            <w:vAlign w:val="center"/>
          </w:tcPr>
          <w:p>
            <w:pPr>
              <w:jc w:val="center"/>
              <w:rPr>
                <w:rFonts w:eastAsia="仿宋_GB2312"/>
                <w:szCs w:val="21"/>
              </w:rPr>
            </w:pPr>
            <w:r>
              <w:rPr>
                <w:rFonts w:hint="eastAsia" w:eastAsia="仿宋_GB2312"/>
                <w:szCs w:val="21"/>
              </w:rPr>
              <w:t>签订物业合同数量</w:t>
            </w:r>
          </w:p>
        </w:tc>
        <w:tc>
          <w:tcPr>
            <w:tcW w:w="750" w:type="dxa"/>
            <w:noWrap/>
            <w:vAlign w:val="center"/>
          </w:tcPr>
          <w:p>
            <w:pPr>
              <w:jc w:val="center"/>
              <w:rPr>
                <w:rFonts w:eastAsia="仿宋_GB2312"/>
                <w:szCs w:val="21"/>
              </w:rPr>
            </w:pPr>
            <w:r>
              <w:rPr>
                <w:rFonts w:hint="eastAsia" w:eastAsia="仿宋_GB2312"/>
                <w:szCs w:val="21"/>
              </w:rPr>
              <w:t>=</w:t>
            </w:r>
          </w:p>
        </w:tc>
        <w:tc>
          <w:tcPr>
            <w:tcW w:w="645" w:type="dxa"/>
            <w:noWrap/>
            <w:vAlign w:val="center"/>
          </w:tcPr>
          <w:p>
            <w:pPr>
              <w:jc w:val="center"/>
              <w:rPr>
                <w:rFonts w:eastAsia="仿宋_GB2312"/>
                <w:szCs w:val="21"/>
              </w:rPr>
            </w:pPr>
            <w:r>
              <w:rPr>
                <w:rFonts w:hint="eastAsia" w:eastAsia="仿宋_GB2312"/>
                <w:szCs w:val="21"/>
              </w:rPr>
              <w:t>1</w:t>
            </w:r>
          </w:p>
        </w:tc>
        <w:tc>
          <w:tcPr>
            <w:tcW w:w="825" w:type="dxa"/>
            <w:noWrap/>
            <w:vAlign w:val="center"/>
          </w:tcPr>
          <w:p>
            <w:pPr>
              <w:jc w:val="center"/>
              <w:rPr>
                <w:rFonts w:eastAsia="仿宋_GB2312"/>
                <w:szCs w:val="21"/>
              </w:rPr>
            </w:pPr>
            <w:r>
              <w:rPr>
                <w:rFonts w:hint="eastAsia" w:eastAsia="仿宋_GB2312"/>
                <w:szCs w:val="21"/>
              </w:rPr>
              <w:t>个</w:t>
            </w:r>
          </w:p>
        </w:tc>
        <w:tc>
          <w:tcPr>
            <w:tcW w:w="2250" w:type="dxa"/>
            <w:noWrap/>
            <w:vAlign w:val="center"/>
          </w:tcPr>
          <w:p>
            <w:pPr>
              <w:jc w:val="center"/>
              <w:rPr>
                <w:rFonts w:eastAsia="仿宋_GB2312"/>
                <w:szCs w:val="21"/>
              </w:rPr>
            </w:pPr>
            <w:r>
              <w:rPr>
                <w:rFonts w:hint="eastAsia" w:eastAsia="仿宋_GB2312"/>
                <w:szCs w:val="21"/>
              </w:rPr>
              <w:t>物业合同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38" w:hRule="atLeast"/>
        </w:trPr>
        <w:tc>
          <w:tcPr>
            <w:tcW w:w="626" w:type="dxa"/>
            <w:vMerge w:val="continue"/>
            <w:tcBorders>
              <w:top w:val="nil"/>
              <w:bottom w:val="nil"/>
            </w:tcBorders>
            <w:noWrap/>
          </w:tcPr>
          <w:p>
            <w:pPr>
              <w:rPr>
                <w:rFonts w:eastAsia="仿宋_GB2312"/>
                <w:szCs w:val="21"/>
              </w:rPr>
            </w:pPr>
          </w:p>
        </w:tc>
        <w:tc>
          <w:tcPr>
            <w:tcW w:w="729" w:type="dxa"/>
            <w:vMerge w:val="continue"/>
            <w:tcBorders>
              <w:top w:val="nil"/>
              <w:bottom w:val="nil"/>
            </w:tcBorders>
            <w:noWrap/>
          </w:tcPr>
          <w:p>
            <w:pPr>
              <w:jc w:val="center"/>
              <w:rPr>
                <w:rFonts w:eastAsia="仿宋_GB2312"/>
                <w:szCs w:val="21"/>
              </w:rPr>
            </w:pPr>
          </w:p>
        </w:tc>
        <w:tc>
          <w:tcPr>
            <w:tcW w:w="1377" w:type="dxa"/>
            <w:noWrap/>
            <w:vAlign w:val="center"/>
          </w:tcPr>
          <w:p>
            <w:pPr>
              <w:jc w:val="center"/>
              <w:rPr>
                <w:rFonts w:eastAsia="仿宋_GB2312"/>
                <w:szCs w:val="21"/>
              </w:rPr>
            </w:pPr>
            <w:r>
              <w:rPr>
                <w:rFonts w:eastAsia="仿宋_GB2312"/>
                <w:szCs w:val="21"/>
              </w:rPr>
              <w:t>电代煤安全检查报告</w:t>
            </w:r>
          </w:p>
        </w:tc>
        <w:tc>
          <w:tcPr>
            <w:tcW w:w="2784" w:type="dxa"/>
            <w:noWrap/>
            <w:vAlign w:val="center"/>
          </w:tcPr>
          <w:p>
            <w:pPr>
              <w:jc w:val="center"/>
              <w:rPr>
                <w:rFonts w:eastAsia="仿宋_GB2312"/>
                <w:szCs w:val="21"/>
              </w:rPr>
            </w:pPr>
            <w:r>
              <w:rPr>
                <w:rFonts w:eastAsia="仿宋_GB2312"/>
                <w:szCs w:val="21"/>
              </w:rPr>
              <w:t>完成电代煤安全检查 并形成检查报告的满 分 ，否则不得分</w:t>
            </w:r>
          </w:p>
        </w:tc>
        <w:tc>
          <w:tcPr>
            <w:tcW w:w="3450" w:type="dxa"/>
            <w:noWrap/>
            <w:vAlign w:val="center"/>
          </w:tcPr>
          <w:p>
            <w:pPr>
              <w:jc w:val="center"/>
              <w:rPr>
                <w:rFonts w:eastAsia="仿宋_GB2312"/>
                <w:szCs w:val="21"/>
              </w:rPr>
            </w:pPr>
            <w:r>
              <w:rPr>
                <w:rFonts w:eastAsia="仿宋_GB2312"/>
                <w:szCs w:val="21"/>
              </w:rPr>
              <w:t>该指标主要考核 对电代煤工程安 全检查的成果</w:t>
            </w:r>
          </w:p>
        </w:tc>
        <w:tc>
          <w:tcPr>
            <w:tcW w:w="750" w:type="dxa"/>
            <w:noWrap/>
            <w:vAlign w:val="center"/>
          </w:tcPr>
          <w:p>
            <w:pPr>
              <w:jc w:val="center"/>
              <w:rPr>
                <w:rFonts w:eastAsia="仿宋_GB2312"/>
                <w:szCs w:val="21"/>
              </w:rPr>
            </w:pPr>
          </w:p>
          <w:p>
            <w:pPr>
              <w:jc w:val="center"/>
              <w:rPr>
                <w:rFonts w:eastAsia="仿宋_GB2312"/>
                <w:szCs w:val="21"/>
              </w:rPr>
            </w:pPr>
            <w:r>
              <w:rPr>
                <w:rFonts w:eastAsia="仿宋_GB2312"/>
                <w:szCs w:val="21"/>
              </w:rPr>
              <w:t>≥</w:t>
            </w:r>
          </w:p>
        </w:tc>
        <w:tc>
          <w:tcPr>
            <w:tcW w:w="645" w:type="dxa"/>
            <w:noWrap/>
            <w:vAlign w:val="center"/>
          </w:tcPr>
          <w:p>
            <w:pPr>
              <w:jc w:val="center"/>
              <w:rPr>
                <w:rFonts w:eastAsia="仿宋_GB2312"/>
                <w:szCs w:val="21"/>
              </w:rPr>
            </w:pPr>
          </w:p>
          <w:p>
            <w:pPr>
              <w:jc w:val="center"/>
              <w:rPr>
                <w:rFonts w:eastAsia="仿宋_GB2312"/>
                <w:szCs w:val="21"/>
              </w:rPr>
            </w:pPr>
            <w:r>
              <w:rPr>
                <w:rFonts w:eastAsia="仿宋_GB2312"/>
                <w:szCs w:val="21"/>
              </w:rPr>
              <w:t>1</w:t>
            </w:r>
          </w:p>
        </w:tc>
        <w:tc>
          <w:tcPr>
            <w:tcW w:w="825" w:type="dxa"/>
            <w:noWrap/>
            <w:vAlign w:val="center"/>
          </w:tcPr>
          <w:p>
            <w:pPr>
              <w:jc w:val="center"/>
              <w:rPr>
                <w:rFonts w:eastAsia="仿宋_GB2312"/>
                <w:szCs w:val="21"/>
              </w:rPr>
            </w:pPr>
          </w:p>
          <w:p>
            <w:pPr>
              <w:jc w:val="center"/>
              <w:rPr>
                <w:rFonts w:eastAsia="仿宋_GB2312"/>
                <w:szCs w:val="21"/>
              </w:rPr>
            </w:pPr>
            <w:r>
              <w:rPr>
                <w:rFonts w:eastAsia="仿宋_GB2312"/>
                <w:szCs w:val="21"/>
              </w:rPr>
              <w:t>份</w:t>
            </w:r>
          </w:p>
        </w:tc>
        <w:tc>
          <w:tcPr>
            <w:tcW w:w="2250" w:type="dxa"/>
            <w:noWrap/>
            <w:vAlign w:val="center"/>
          </w:tcPr>
          <w:p>
            <w:pPr>
              <w:jc w:val="center"/>
              <w:rPr>
                <w:rFonts w:eastAsia="仿宋_GB2312"/>
                <w:szCs w:val="21"/>
              </w:rPr>
            </w:pPr>
          </w:p>
          <w:p>
            <w:pPr>
              <w:jc w:val="center"/>
              <w:rPr>
                <w:rFonts w:eastAsia="仿宋_GB2312"/>
                <w:szCs w:val="21"/>
              </w:rPr>
            </w:pPr>
            <w:r>
              <w:rPr>
                <w:rFonts w:eastAsia="仿宋_GB2312"/>
                <w:szCs w:val="21"/>
              </w:rPr>
              <w:t>电 代 煤 安 全 检 查报告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945" w:hRule="atLeast"/>
        </w:trPr>
        <w:tc>
          <w:tcPr>
            <w:tcW w:w="626" w:type="dxa"/>
            <w:vMerge w:val="continue"/>
            <w:tcBorders>
              <w:top w:val="nil"/>
              <w:bottom w:val="nil"/>
            </w:tcBorders>
            <w:noWrap/>
          </w:tcPr>
          <w:p>
            <w:pPr>
              <w:rPr>
                <w:rFonts w:eastAsia="仿宋_GB2312"/>
                <w:szCs w:val="21"/>
              </w:rPr>
            </w:pPr>
          </w:p>
        </w:tc>
        <w:tc>
          <w:tcPr>
            <w:tcW w:w="729" w:type="dxa"/>
            <w:vMerge w:val="continue"/>
            <w:tcBorders>
              <w:top w:val="nil"/>
            </w:tcBorders>
            <w:noWrap/>
          </w:tcPr>
          <w:p>
            <w:pPr>
              <w:jc w:val="center"/>
              <w:rPr>
                <w:rFonts w:eastAsia="仿宋_GB2312"/>
                <w:szCs w:val="21"/>
              </w:rPr>
            </w:pPr>
          </w:p>
        </w:tc>
        <w:tc>
          <w:tcPr>
            <w:tcW w:w="1377" w:type="dxa"/>
            <w:noWrap/>
            <w:vAlign w:val="center"/>
          </w:tcPr>
          <w:p>
            <w:pPr>
              <w:jc w:val="center"/>
              <w:rPr>
                <w:rFonts w:eastAsia="仿宋_GB2312"/>
                <w:szCs w:val="21"/>
              </w:rPr>
            </w:pPr>
            <w:r>
              <w:rPr>
                <w:rFonts w:hint="eastAsia" w:eastAsia="仿宋_GB2312"/>
                <w:szCs w:val="21"/>
              </w:rPr>
              <w:t>观摩拉练次数</w:t>
            </w:r>
          </w:p>
        </w:tc>
        <w:tc>
          <w:tcPr>
            <w:tcW w:w="2784" w:type="dxa"/>
            <w:noWrap/>
            <w:vAlign w:val="center"/>
          </w:tcPr>
          <w:p>
            <w:pPr>
              <w:jc w:val="center"/>
              <w:rPr>
                <w:rFonts w:eastAsia="仿宋_GB2312"/>
                <w:szCs w:val="21"/>
              </w:rPr>
            </w:pPr>
            <w:r>
              <w:rPr>
                <w:rFonts w:hint="eastAsia" w:eastAsia="仿宋_GB2312"/>
                <w:szCs w:val="21"/>
              </w:rPr>
              <w:t>符合指标值得满分，每减少一次扣除权重的50%</w:t>
            </w:r>
          </w:p>
        </w:tc>
        <w:tc>
          <w:tcPr>
            <w:tcW w:w="3450" w:type="dxa"/>
            <w:noWrap/>
            <w:vAlign w:val="center"/>
          </w:tcPr>
          <w:p>
            <w:pPr>
              <w:jc w:val="center"/>
              <w:rPr>
                <w:rFonts w:eastAsia="仿宋_GB2312"/>
                <w:szCs w:val="21"/>
              </w:rPr>
            </w:pPr>
            <w:r>
              <w:rPr>
                <w:rFonts w:hint="eastAsia" w:eastAsia="仿宋_GB2312"/>
                <w:szCs w:val="21"/>
              </w:rPr>
              <w:t>考核织项目观摩拉练次数</w:t>
            </w:r>
          </w:p>
        </w:tc>
        <w:tc>
          <w:tcPr>
            <w:tcW w:w="750" w:type="dxa"/>
            <w:noWrap/>
            <w:vAlign w:val="center"/>
          </w:tcPr>
          <w:p>
            <w:pPr>
              <w:jc w:val="center"/>
              <w:rPr>
                <w:rFonts w:eastAsia="仿宋_GB2312"/>
                <w:szCs w:val="21"/>
              </w:rPr>
            </w:pPr>
            <w:r>
              <w:rPr>
                <w:rFonts w:hint="eastAsia" w:eastAsia="仿宋_GB2312"/>
                <w:szCs w:val="21"/>
              </w:rPr>
              <w:t>=</w:t>
            </w:r>
          </w:p>
        </w:tc>
        <w:tc>
          <w:tcPr>
            <w:tcW w:w="645" w:type="dxa"/>
            <w:noWrap/>
            <w:vAlign w:val="center"/>
          </w:tcPr>
          <w:p>
            <w:pPr>
              <w:jc w:val="center"/>
              <w:rPr>
                <w:rFonts w:eastAsia="仿宋_GB2312"/>
                <w:szCs w:val="21"/>
              </w:rPr>
            </w:pPr>
            <w:r>
              <w:rPr>
                <w:rFonts w:hint="eastAsia" w:eastAsia="仿宋_GB2312"/>
                <w:szCs w:val="21"/>
              </w:rPr>
              <w:t>2</w:t>
            </w:r>
          </w:p>
        </w:tc>
        <w:tc>
          <w:tcPr>
            <w:tcW w:w="825" w:type="dxa"/>
            <w:noWrap/>
            <w:vAlign w:val="center"/>
          </w:tcPr>
          <w:p>
            <w:pPr>
              <w:jc w:val="center"/>
              <w:rPr>
                <w:rFonts w:eastAsia="仿宋_GB2312"/>
                <w:szCs w:val="21"/>
              </w:rPr>
            </w:pPr>
            <w:r>
              <w:rPr>
                <w:rFonts w:hint="eastAsia" w:eastAsia="仿宋_GB2312"/>
                <w:szCs w:val="21"/>
              </w:rPr>
              <w:t>次</w:t>
            </w:r>
          </w:p>
        </w:tc>
        <w:tc>
          <w:tcPr>
            <w:tcW w:w="2250" w:type="dxa"/>
            <w:noWrap/>
            <w:vAlign w:val="center"/>
          </w:tcPr>
          <w:p>
            <w:pPr>
              <w:jc w:val="center"/>
              <w:rPr>
                <w:rFonts w:eastAsia="仿宋_GB2312"/>
                <w:szCs w:val="21"/>
              </w:rPr>
            </w:pPr>
            <w:r>
              <w:rPr>
                <w:rFonts w:hint="eastAsia" w:eastAsia="仿宋_GB2312"/>
                <w:szCs w:val="21"/>
              </w:rPr>
              <w:t>工作方案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164" w:hRule="atLeast"/>
        </w:trPr>
        <w:tc>
          <w:tcPr>
            <w:tcW w:w="626" w:type="dxa"/>
            <w:vMerge w:val="restart"/>
            <w:tcBorders>
              <w:top w:val="nil"/>
              <w:bottom w:val="nil"/>
            </w:tcBorders>
            <w:noWrap/>
          </w:tcPr>
          <w:p>
            <w:pPr>
              <w:rPr>
                <w:rFonts w:eastAsia="仿宋_GB2312"/>
                <w:szCs w:val="21"/>
              </w:rPr>
            </w:pPr>
          </w:p>
        </w:tc>
        <w:tc>
          <w:tcPr>
            <w:tcW w:w="729" w:type="dxa"/>
            <w:vMerge w:val="restart"/>
            <w:tcBorders>
              <w:bottom w:val="nil"/>
            </w:tcBorders>
            <w:noWrap/>
          </w:tcPr>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r>
              <w:rPr>
                <w:rFonts w:eastAsia="仿宋_GB2312"/>
                <w:szCs w:val="21"/>
              </w:rPr>
              <w:t>质量</w:t>
            </w:r>
          </w:p>
        </w:tc>
        <w:tc>
          <w:tcPr>
            <w:tcW w:w="1377" w:type="dxa"/>
            <w:noWrap/>
            <w:vAlign w:val="center"/>
          </w:tcPr>
          <w:p>
            <w:pPr>
              <w:jc w:val="center"/>
              <w:rPr>
                <w:rFonts w:eastAsia="仿宋_GB2312"/>
                <w:szCs w:val="21"/>
              </w:rPr>
            </w:pPr>
            <w:r>
              <w:rPr>
                <w:rFonts w:eastAsia="仿宋_GB2312"/>
                <w:szCs w:val="21"/>
              </w:rPr>
              <w:t>物资储备质量完好率</w:t>
            </w:r>
          </w:p>
        </w:tc>
        <w:tc>
          <w:tcPr>
            <w:tcW w:w="2784" w:type="dxa"/>
            <w:noWrap/>
            <w:vAlign w:val="center"/>
          </w:tcPr>
          <w:p>
            <w:pPr>
              <w:jc w:val="center"/>
              <w:rPr>
                <w:rFonts w:eastAsia="仿宋_GB2312"/>
                <w:szCs w:val="21"/>
              </w:rPr>
            </w:pPr>
            <w:r>
              <w:rPr>
                <w:rFonts w:eastAsia="仿宋_GB2312"/>
                <w:szCs w:val="21"/>
              </w:rPr>
              <w:t>每降低 2% ，扣权重分 的 10%</w:t>
            </w:r>
          </w:p>
        </w:tc>
        <w:tc>
          <w:tcPr>
            <w:tcW w:w="3450" w:type="dxa"/>
            <w:noWrap/>
            <w:vAlign w:val="center"/>
          </w:tcPr>
          <w:p>
            <w:pPr>
              <w:jc w:val="center"/>
              <w:rPr>
                <w:rFonts w:eastAsia="仿宋_GB2312"/>
                <w:szCs w:val="21"/>
              </w:rPr>
            </w:pPr>
            <w:r>
              <w:rPr>
                <w:rFonts w:eastAsia="仿宋_GB2312"/>
                <w:szCs w:val="21"/>
              </w:rPr>
              <w:t>物资储备质量完好率=无质量问 题储备物资数量 /全部储存数量</w:t>
            </w:r>
          </w:p>
        </w:tc>
        <w:tc>
          <w:tcPr>
            <w:tcW w:w="750" w:type="dxa"/>
            <w:noWrap/>
            <w:vAlign w:val="center"/>
          </w:tcPr>
          <w:p>
            <w:pPr>
              <w:jc w:val="center"/>
              <w:rPr>
                <w:rFonts w:eastAsia="仿宋_GB2312"/>
                <w:szCs w:val="21"/>
              </w:rPr>
            </w:pPr>
          </w:p>
          <w:p>
            <w:pPr>
              <w:jc w:val="center"/>
              <w:rPr>
                <w:rFonts w:eastAsia="仿宋_GB2312"/>
                <w:szCs w:val="21"/>
              </w:rPr>
            </w:pPr>
            <w:r>
              <w:rPr>
                <w:rFonts w:eastAsia="仿宋_GB2312"/>
                <w:szCs w:val="21"/>
              </w:rPr>
              <w:t>=</w:t>
            </w:r>
          </w:p>
        </w:tc>
        <w:tc>
          <w:tcPr>
            <w:tcW w:w="645" w:type="dxa"/>
            <w:noWrap/>
            <w:vAlign w:val="center"/>
          </w:tcPr>
          <w:p>
            <w:pPr>
              <w:jc w:val="center"/>
              <w:rPr>
                <w:rFonts w:eastAsia="仿宋_GB2312"/>
                <w:szCs w:val="21"/>
              </w:rPr>
            </w:pPr>
          </w:p>
          <w:p>
            <w:pPr>
              <w:jc w:val="center"/>
              <w:rPr>
                <w:rFonts w:eastAsia="仿宋_GB2312"/>
                <w:szCs w:val="21"/>
              </w:rPr>
            </w:pPr>
            <w:r>
              <w:rPr>
                <w:rFonts w:eastAsia="仿宋_GB2312"/>
                <w:szCs w:val="21"/>
              </w:rPr>
              <w:t>100</w:t>
            </w:r>
          </w:p>
        </w:tc>
        <w:tc>
          <w:tcPr>
            <w:tcW w:w="825" w:type="dxa"/>
            <w:noWrap/>
            <w:vAlign w:val="center"/>
          </w:tcPr>
          <w:p>
            <w:pPr>
              <w:jc w:val="center"/>
              <w:rPr>
                <w:rFonts w:eastAsia="仿宋_GB2312"/>
                <w:szCs w:val="21"/>
              </w:rPr>
            </w:pPr>
          </w:p>
          <w:p>
            <w:pPr>
              <w:jc w:val="center"/>
              <w:rPr>
                <w:rFonts w:eastAsia="仿宋_GB2312"/>
                <w:szCs w:val="21"/>
              </w:rPr>
            </w:pPr>
            <w:r>
              <w:rPr>
                <w:rFonts w:eastAsia="仿宋_GB2312"/>
                <w:szCs w:val="21"/>
              </w:rPr>
              <w:t>%</w:t>
            </w:r>
          </w:p>
        </w:tc>
        <w:tc>
          <w:tcPr>
            <w:tcW w:w="2250" w:type="dxa"/>
            <w:noWrap/>
            <w:vAlign w:val="center"/>
          </w:tcPr>
          <w:p>
            <w:pPr>
              <w:jc w:val="center"/>
              <w:rPr>
                <w:rFonts w:eastAsia="仿宋_GB2312"/>
                <w:szCs w:val="21"/>
              </w:rPr>
            </w:pPr>
            <w:r>
              <w:rPr>
                <w:rFonts w:eastAsia="仿宋_GB2312"/>
                <w:szCs w:val="21"/>
              </w:rPr>
              <w:t>《救 灾 物 资 储 备管理办法》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453" w:hRule="atLeast"/>
        </w:trPr>
        <w:tc>
          <w:tcPr>
            <w:tcW w:w="626" w:type="dxa"/>
            <w:vMerge w:val="continue"/>
            <w:tcBorders>
              <w:top w:val="nil"/>
              <w:bottom w:val="nil"/>
            </w:tcBorders>
            <w:noWrap/>
          </w:tcPr>
          <w:p>
            <w:pPr>
              <w:rPr>
                <w:rFonts w:eastAsia="仿宋_GB2312"/>
                <w:szCs w:val="21"/>
              </w:rPr>
            </w:pPr>
          </w:p>
        </w:tc>
        <w:tc>
          <w:tcPr>
            <w:tcW w:w="729" w:type="dxa"/>
            <w:vMerge w:val="continue"/>
            <w:tcBorders>
              <w:top w:val="nil"/>
              <w:bottom w:val="nil"/>
            </w:tcBorders>
            <w:noWrap/>
          </w:tcPr>
          <w:p>
            <w:pPr>
              <w:rPr>
                <w:rFonts w:eastAsia="仿宋_GB2312"/>
                <w:szCs w:val="21"/>
              </w:rPr>
            </w:pPr>
          </w:p>
        </w:tc>
        <w:tc>
          <w:tcPr>
            <w:tcW w:w="1377" w:type="dxa"/>
            <w:noWrap/>
            <w:vAlign w:val="center"/>
          </w:tcPr>
          <w:p>
            <w:pPr>
              <w:rPr>
                <w:rFonts w:eastAsia="仿宋_GB2312"/>
                <w:szCs w:val="21"/>
              </w:rPr>
            </w:pPr>
            <w:r>
              <w:rPr>
                <w:rFonts w:hint="eastAsia" w:eastAsia="仿宋_GB2312"/>
                <w:szCs w:val="21"/>
              </w:rPr>
              <w:t>政府网站年度运行维护合格率</w:t>
            </w:r>
          </w:p>
        </w:tc>
        <w:tc>
          <w:tcPr>
            <w:tcW w:w="2784" w:type="dxa"/>
            <w:noWrap/>
            <w:vAlign w:val="center"/>
          </w:tcPr>
          <w:p>
            <w:pPr>
              <w:jc w:val="left"/>
              <w:rPr>
                <w:rFonts w:eastAsia="仿宋_GB2312"/>
                <w:szCs w:val="21"/>
              </w:rPr>
            </w:pPr>
            <w:r>
              <w:rPr>
                <w:rFonts w:eastAsia="仿宋_GB2312"/>
                <w:szCs w:val="21"/>
              </w:rPr>
              <w:t xml:space="preserve">完 成 率  等 于 </w:t>
            </w:r>
            <w:r>
              <w:rPr>
                <w:rFonts w:hint="eastAsia" w:eastAsia="仿宋_GB2312"/>
                <w:szCs w:val="21"/>
              </w:rPr>
              <w:t>100</w:t>
            </w:r>
            <w:r>
              <w:rPr>
                <w:rFonts w:eastAsia="仿宋_GB2312"/>
                <w:szCs w:val="21"/>
              </w:rPr>
              <w:t>%的 ，得满分；</w:t>
            </w:r>
            <w:r>
              <w:rPr>
                <w:rFonts w:hint="eastAsia" w:eastAsia="仿宋_GB2312"/>
                <w:szCs w:val="21"/>
              </w:rPr>
              <w:t>合格率每减少10%，扣除权重的10%，合格率低于60%不得分。</w:t>
            </w:r>
          </w:p>
        </w:tc>
        <w:tc>
          <w:tcPr>
            <w:tcW w:w="3450" w:type="dxa"/>
            <w:noWrap/>
            <w:vAlign w:val="center"/>
          </w:tcPr>
          <w:p>
            <w:pPr>
              <w:rPr>
                <w:rFonts w:eastAsia="仿宋_GB2312"/>
                <w:szCs w:val="21"/>
              </w:rPr>
            </w:pPr>
            <w:r>
              <w:rPr>
                <w:rFonts w:eastAsia="仿宋_GB2312"/>
                <w:szCs w:val="21"/>
              </w:rPr>
              <w:t xml:space="preserve">该指标主要考核 </w:t>
            </w:r>
            <w:r>
              <w:rPr>
                <w:rFonts w:hint="eastAsia" w:eastAsia="仿宋_GB2312"/>
                <w:szCs w:val="21"/>
              </w:rPr>
              <w:t>年度运行维护是否全部完成且合格</w:t>
            </w:r>
          </w:p>
        </w:tc>
        <w:tc>
          <w:tcPr>
            <w:tcW w:w="750" w:type="dxa"/>
            <w:noWrap/>
            <w:vAlign w:val="center"/>
          </w:tcPr>
          <w:p>
            <w:pPr>
              <w:jc w:val="center"/>
              <w:rPr>
                <w:rFonts w:eastAsia="仿宋_GB2312"/>
                <w:szCs w:val="21"/>
              </w:rPr>
            </w:pPr>
            <w:r>
              <w:rPr>
                <w:rFonts w:eastAsia="仿宋_GB2312"/>
                <w:szCs w:val="21"/>
              </w:rPr>
              <w:t>=</w:t>
            </w:r>
          </w:p>
        </w:tc>
        <w:tc>
          <w:tcPr>
            <w:tcW w:w="645" w:type="dxa"/>
            <w:noWrap/>
            <w:vAlign w:val="center"/>
          </w:tcPr>
          <w:p>
            <w:pPr>
              <w:jc w:val="center"/>
              <w:rPr>
                <w:rFonts w:eastAsia="仿宋_GB2312"/>
                <w:szCs w:val="21"/>
              </w:rPr>
            </w:pPr>
            <w:r>
              <w:rPr>
                <w:rFonts w:eastAsia="仿宋_GB2312"/>
                <w:szCs w:val="21"/>
              </w:rPr>
              <w:t>100</w:t>
            </w:r>
          </w:p>
        </w:tc>
        <w:tc>
          <w:tcPr>
            <w:tcW w:w="825" w:type="dxa"/>
            <w:noWrap/>
            <w:vAlign w:val="center"/>
          </w:tcPr>
          <w:p>
            <w:pPr>
              <w:jc w:val="center"/>
              <w:rPr>
                <w:rFonts w:eastAsia="仿宋_GB2312"/>
                <w:szCs w:val="21"/>
              </w:rPr>
            </w:pPr>
            <w:r>
              <w:rPr>
                <w:rFonts w:eastAsia="仿宋_GB2312"/>
                <w:szCs w:val="21"/>
              </w:rPr>
              <w:t>%</w:t>
            </w:r>
          </w:p>
        </w:tc>
        <w:tc>
          <w:tcPr>
            <w:tcW w:w="2250" w:type="dxa"/>
            <w:noWrap/>
            <w:vAlign w:val="center"/>
          </w:tcPr>
          <w:p>
            <w:pPr>
              <w:jc w:val="center"/>
              <w:rPr>
                <w:rFonts w:eastAsia="仿宋_GB2312"/>
                <w:szCs w:val="21"/>
              </w:rPr>
            </w:pPr>
            <w:r>
              <w:rPr>
                <w:rFonts w:hint="eastAsia" w:eastAsia="仿宋_GB2312"/>
                <w:szCs w:val="21"/>
              </w:rPr>
              <w:t>工作总结</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074" w:hRule="atLeast"/>
        </w:trPr>
        <w:tc>
          <w:tcPr>
            <w:tcW w:w="626" w:type="dxa"/>
            <w:tcBorders>
              <w:top w:val="nil"/>
              <w:bottom w:val="nil"/>
            </w:tcBorders>
            <w:noWrap/>
          </w:tcPr>
          <w:p>
            <w:pPr>
              <w:rPr>
                <w:rFonts w:eastAsia="仿宋_GB2312"/>
                <w:szCs w:val="21"/>
              </w:rPr>
            </w:pPr>
          </w:p>
        </w:tc>
        <w:tc>
          <w:tcPr>
            <w:tcW w:w="729" w:type="dxa"/>
            <w:tcBorders>
              <w:top w:val="nil"/>
              <w:bottom w:val="nil"/>
            </w:tcBorders>
            <w:noWrap/>
          </w:tcPr>
          <w:p>
            <w:pPr>
              <w:rPr>
                <w:rFonts w:eastAsia="仿宋_GB2312"/>
                <w:szCs w:val="21"/>
              </w:rPr>
            </w:pPr>
          </w:p>
        </w:tc>
        <w:tc>
          <w:tcPr>
            <w:tcW w:w="1377" w:type="dxa"/>
            <w:noWrap/>
            <w:vAlign w:val="center"/>
          </w:tcPr>
          <w:p>
            <w:pPr>
              <w:rPr>
                <w:rFonts w:eastAsia="仿宋_GB2312"/>
                <w:szCs w:val="21"/>
              </w:rPr>
            </w:pPr>
            <w:r>
              <w:rPr>
                <w:rFonts w:hint="eastAsia" w:eastAsia="仿宋_GB2312"/>
                <w:szCs w:val="21"/>
              </w:rPr>
              <w:t>下发资金准确率</w:t>
            </w:r>
          </w:p>
        </w:tc>
        <w:tc>
          <w:tcPr>
            <w:tcW w:w="2784" w:type="dxa"/>
            <w:noWrap/>
            <w:vAlign w:val="center"/>
          </w:tcPr>
          <w:p>
            <w:pPr>
              <w:rPr>
                <w:rFonts w:eastAsia="仿宋_GB2312"/>
                <w:szCs w:val="21"/>
              </w:rPr>
            </w:pPr>
            <w:r>
              <w:rPr>
                <w:rFonts w:hint="eastAsia" w:eastAsia="仿宋_GB2312"/>
                <w:szCs w:val="21"/>
              </w:rPr>
              <w:t>符合指标值得满分，不符合不得分</w:t>
            </w:r>
          </w:p>
        </w:tc>
        <w:tc>
          <w:tcPr>
            <w:tcW w:w="3450" w:type="dxa"/>
            <w:noWrap/>
            <w:vAlign w:val="center"/>
          </w:tcPr>
          <w:p>
            <w:pPr>
              <w:rPr>
                <w:rFonts w:eastAsia="仿宋_GB2312"/>
                <w:szCs w:val="21"/>
              </w:rPr>
            </w:pPr>
            <w:r>
              <w:rPr>
                <w:rFonts w:hint="eastAsia" w:eastAsia="仿宋_GB2312"/>
                <w:szCs w:val="21"/>
              </w:rPr>
              <w:t>分别为大厂县、香河县、廊坊开发区、广阳区、安次区、永清县、固安县、文安县、大城县</w:t>
            </w:r>
          </w:p>
        </w:tc>
        <w:tc>
          <w:tcPr>
            <w:tcW w:w="750" w:type="dxa"/>
            <w:noWrap/>
            <w:vAlign w:val="center"/>
          </w:tcPr>
          <w:p>
            <w:pPr>
              <w:jc w:val="center"/>
              <w:rPr>
                <w:rFonts w:eastAsia="仿宋_GB2312"/>
                <w:szCs w:val="21"/>
              </w:rPr>
            </w:pPr>
            <w:r>
              <w:rPr>
                <w:rFonts w:hint="eastAsia" w:eastAsia="仿宋_GB2312"/>
                <w:szCs w:val="21"/>
              </w:rPr>
              <w:t>=</w:t>
            </w:r>
          </w:p>
        </w:tc>
        <w:tc>
          <w:tcPr>
            <w:tcW w:w="645" w:type="dxa"/>
            <w:noWrap/>
            <w:vAlign w:val="center"/>
          </w:tcPr>
          <w:p>
            <w:pPr>
              <w:jc w:val="center"/>
              <w:rPr>
                <w:rFonts w:eastAsia="仿宋_GB2312"/>
                <w:szCs w:val="21"/>
              </w:rPr>
            </w:pPr>
            <w:r>
              <w:rPr>
                <w:rFonts w:hint="eastAsia" w:eastAsia="仿宋_GB2312"/>
                <w:szCs w:val="21"/>
              </w:rPr>
              <w:t>100</w:t>
            </w:r>
          </w:p>
        </w:tc>
        <w:tc>
          <w:tcPr>
            <w:tcW w:w="825" w:type="dxa"/>
            <w:noWrap/>
            <w:vAlign w:val="center"/>
          </w:tcPr>
          <w:p>
            <w:pPr>
              <w:jc w:val="center"/>
              <w:rPr>
                <w:rFonts w:eastAsia="仿宋_GB2312"/>
                <w:szCs w:val="21"/>
              </w:rPr>
            </w:pPr>
            <w:r>
              <w:rPr>
                <w:rFonts w:hint="eastAsia" w:eastAsia="仿宋_GB2312"/>
                <w:szCs w:val="21"/>
              </w:rPr>
              <w:t>%</w:t>
            </w:r>
          </w:p>
        </w:tc>
        <w:tc>
          <w:tcPr>
            <w:tcW w:w="2250" w:type="dxa"/>
            <w:noWrap/>
            <w:vAlign w:val="center"/>
          </w:tcPr>
          <w:p>
            <w:pPr>
              <w:rPr>
                <w:rFonts w:eastAsia="仿宋_GB2312"/>
                <w:szCs w:val="21"/>
              </w:rPr>
            </w:pPr>
            <w:r>
              <w:rPr>
                <w:rFonts w:hint="eastAsia" w:eastAsia="仿宋_GB2312"/>
                <w:szCs w:val="21"/>
              </w:rPr>
              <w:t>财务资料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453" w:hRule="atLeast"/>
        </w:trPr>
        <w:tc>
          <w:tcPr>
            <w:tcW w:w="626" w:type="dxa"/>
            <w:tcBorders>
              <w:top w:val="nil"/>
              <w:bottom w:val="single" w:color="auto" w:sz="4" w:space="0"/>
            </w:tcBorders>
            <w:noWrap/>
          </w:tcPr>
          <w:p>
            <w:pPr>
              <w:rPr>
                <w:rFonts w:eastAsia="仿宋_GB2312"/>
                <w:szCs w:val="21"/>
              </w:rPr>
            </w:pPr>
          </w:p>
        </w:tc>
        <w:tc>
          <w:tcPr>
            <w:tcW w:w="729" w:type="dxa"/>
            <w:tcBorders>
              <w:top w:val="nil"/>
              <w:bottom w:val="single" w:color="auto" w:sz="4" w:space="0"/>
            </w:tcBorders>
            <w:noWrap/>
          </w:tcPr>
          <w:p>
            <w:pPr>
              <w:rPr>
                <w:rFonts w:eastAsia="仿宋_GB2312"/>
                <w:szCs w:val="21"/>
              </w:rPr>
            </w:pPr>
          </w:p>
        </w:tc>
        <w:tc>
          <w:tcPr>
            <w:tcW w:w="1377" w:type="dxa"/>
            <w:tcBorders>
              <w:bottom w:val="single" w:color="auto" w:sz="4" w:space="0"/>
            </w:tcBorders>
            <w:noWrap/>
            <w:vAlign w:val="center"/>
          </w:tcPr>
          <w:p>
            <w:pPr>
              <w:rPr>
                <w:rFonts w:eastAsia="仿宋_GB2312"/>
                <w:szCs w:val="21"/>
              </w:rPr>
            </w:pPr>
            <w:r>
              <w:rPr>
                <w:rFonts w:hint="eastAsia" w:eastAsia="仿宋_GB2312"/>
                <w:szCs w:val="21"/>
              </w:rPr>
              <w:t>奖补企业符合奖励条件</w:t>
            </w:r>
          </w:p>
        </w:tc>
        <w:tc>
          <w:tcPr>
            <w:tcW w:w="2784" w:type="dxa"/>
            <w:noWrap/>
            <w:vAlign w:val="center"/>
          </w:tcPr>
          <w:p>
            <w:pPr>
              <w:rPr>
                <w:rFonts w:eastAsia="仿宋_GB2312"/>
                <w:szCs w:val="21"/>
              </w:rPr>
            </w:pPr>
            <w:r>
              <w:rPr>
                <w:rFonts w:hint="eastAsia" w:eastAsia="仿宋_GB2312"/>
                <w:szCs w:val="21"/>
              </w:rPr>
              <w:t>符合指标值得满分，不符合不得分。</w:t>
            </w:r>
          </w:p>
        </w:tc>
        <w:tc>
          <w:tcPr>
            <w:tcW w:w="3450" w:type="dxa"/>
            <w:noWrap/>
            <w:vAlign w:val="center"/>
          </w:tcPr>
          <w:p>
            <w:pPr>
              <w:rPr>
                <w:rFonts w:eastAsia="仿宋_GB2312"/>
                <w:szCs w:val="21"/>
              </w:rPr>
            </w:pPr>
            <w:r>
              <w:rPr>
                <w:rFonts w:hint="eastAsia" w:eastAsia="仿宋_GB2312"/>
                <w:szCs w:val="21"/>
              </w:rPr>
              <w:t>奖补企业符合奖励条件</w:t>
            </w:r>
          </w:p>
        </w:tc>
        <w:tc>
          <w:tcPr>
            <w:tcW w:w="750" w:type="dxa"/>
            <w:noWrap/>
            <w:vAlign w:val="center"/>
          </w:tcPr>
          <w:p>
            <w:pPr>
              <w:jc w:val="center"/>
              <w:rPr>
                <w:rFonts w:eastAsia="仿宋_GB2312"/>
                <w:szCs w:val="21"/>
              </w:rPr>
            </w:pPr>
            <w:r>
              <w:rPr>
                <w:rFonts w:hint="eastAsia" w:eastAsia="仿宋_GB2312"/>
                <w:szCs w:val="21"/>
              </w:rPr>
              <w:t>=</w:t>
            </w:r>
          </w:p>
        </w:tc>
        <w:tc>
          <w:tcPr>
            <w:tcW w:w="645" w:type="dxa"/>
            <w:noWrap/>
            <w:vAlign w:val="center"/>
          </w:tcPr>
          <w:p>
            <w:pPr>
              <w:jc w:val="center"/>
              <w:rPr>
                <w:rFonts w:eastAsia="仿宋_GB2312"/>
                <w:szCs w:val="21"/>
              </w:rPr>
            </w:pPr>
            <w:r>
              <w:rPr>
                <w:rFonts w:hint="eastAsia" w:eastAsia="仿宋_GB2312"/>
                <w:szCs w:val="21"/>
              </w:rPr>
              <w:t>100</w:t>
            </w:r>
          </w:p>
        </w:tc>
        <w:tc>
          <w:tcPr>
            <w:tcW w:w="825" w:type="dxa"/>
            <w:noWrap/>
            <w:vAlign w:val="center"/>
          </w:tcPr>
          <w:p>
            <w:pPr>
              <w:jc w:val="center"/>
              <w:rPr>
                <w:rFonts w:eastAsia="仿宋_GB2312"/>
                <w:szCs w:val="21"/>
              </w:rPr>
            </w:pPr>
            <w:r>
              <w:rPr>
                <w:rFonts w:hint="eastAsia" w:eastAsia="仿宋_GB2312"/>
                <w:szCs w:val="21"/>
              </w:rPr>
              <w:t>%</w:t>
            </w:r>
          </w:p>
        </w:tc>
        <w:tc>
          <w:tcPr>
            <w:tcW w:w="2250" w:type="dxa"/>
            <w:noWrap/>
            <w:vAlign w:val="center"/>
          </w:tcPr>
          <w:p>
            <w:pPr>
              <w:rPr>
                <w:rFonts w:eastAsia="仿宋_GB2312"/>
                <w:szCs w:val="21"/>
              </w:rPr>
            </w:pPr>
            <w:r>
              <w:rPr>
                <w:rFonts w:hint="eastAsia" w:eastAsia="仿宋_GB2312"/>
                <w:szCs w:val="21"/>
              </w:rPr>
              <w:t>人工智能算力券工作细则</w:t>
            </w:r>
          </w:p>
        </w:tc>
      </w:tr>
    </w:tbl>
    <w:p>
      <w:pPr>
        <w:rPr>
          <w:rFonts w:eastAsia="仿宋_GB2312"/>
          <w:szCs w:val="21"/>
        </w:rPr>
      </w:pPr>
    </w:p>
    <w:p>
      <w:pPr>
        <w:jc w:val="left"/>
        <w:sectPr>
          <w:pgSz w:w="16840" w:h="11907" w:orient="landscape"/>
          <w:pgMar w:top="1134" w:right="1431" w:bottom="1134" w:left="1301" w:header="0" w:footer="1156" w:gutter="0"/>
          <w:cols w:space="720" w:num="1"/>
        </w:sectPr>
      </w:pPr>
    </w:p>
    <w:p>
      <w:pPr>
        <w:jc w:val="left"/>
      </w:pPr>
    </w:p>
    <w:p>
      <w:pPr>
        <w:rPr>
          <w:rFonts w:eastAsia="仿宋_GB2312"/>
          <w:szCs w:val="21"/>
        </w:rPr>
      </w:pPr>
    </w:p>
    <w:tbl>
      <w:tblPr>
        <w:tblStyle w:val="38"/>
        <w:tblW w:w="13858" w:type="dxa"/>
        <w:tblInd w:w="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26"/>
        <w:gridCol w:w="729"/>
        <w:gridCol w:w="1197"/>
        <w:gridCol w:w="1885"/>
        <w:gridCol w:w="4201"/>
        <w:gridCol w:w="1035"/>
        <w:gridCol w:w="855"/>
        <w:gridCol w:w="840"/>
        <w:gridCol w:w="249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42" w:hRule="atLeast"/>
        </w:trPr>
        <w:tc>
          <w:tcPr>
            <w:tcW w:w="626" w:type="dxa"/>
            <w:vMerge w:val="restart"/>
            <w:tcBorders>
              <w:bottom w:val="nil"/>
            </w:tcBorders>
            <w:noWrap/>
            <w:vAlign w:val="center"/>
          </w:tcPr>
          <w:p>
            <w:pPr>
              <w:jc w:val="center"/>
              <w:rPr>
                <w:rFonts w:eastAsia="仿宋_GB2312"/>
                <w:szCs w:val="21"/>
              </w:rPr>
            </w:pPr>
            <w:r>
              <w:rPr>
                <w:rFonts w:eastAsia="仿宋_GB2312"/>
                <w:szCs w:val="21"/>
              </w:rPr>
              <w:t>一级 指标</w:t>
            </w:r>
          </w:p>
        </w:tc>
        <w:tc>
          <w:tcPr>
            <w:tcW w:w="729" w:type="dxa"/>
            <w:vMerge w:val="restart"/>
            <w:tcBorders>
              <w:bottom w:val="nil"/>
            </w:tcBorders>
            <w:noWrap/>
            <w:vAlign w:val="center"/>
          </w:tcPr>
          <w:p>
            <w:pPr>
              <w:jc w:val="center"/>
              <w:rPr>
                <w:rFonts w:eastAsia="仿宋_GB2312"/>
                <w:szCs w:val="21"/>
              </w:rPr>
            </w:pPr>
            <w:r>
              <w:rPr>
                <w:rFonts w:eastAsia="仿宋_GB2312"/>
                <w:szCs w:val="21"/>
              </w:rPr>
              <w:t>二级</w:t>
            </w:r>
          </w:p>
          <w:p>
            <w:pPr>
              <w:jc w:val="center"/>
              <w:rPr>
                <w:rFonts w:eastAsia="仿宋_GB2312"/>
                <w:szCs w:val="21"/>
              </w:rPr>
            </w:pPr>
            <w:r>
              <w:rPr>
                <w:rFonts w:eastAsia="仿宋_GB2312"/>
                <w:szCs w:val="21"/>
              </w:rPr>
              <w:t>指标</w:t>
            </w:r>
          </w:p>
        </w:tc>
        <w:tc>
          <w:tcPr>
            <w:tcW w:w="1197" w:type="dxa"/>
            <w:vMerge w:val="restart"/>
            <w:tcBorders>
              <w:bottom w:val="nil"/>
            </w:tcBorders>
            <w:noWrap/>
            <w:vAlign w:val="center"/>
          </w:tcPr>
          <w:p>
            <w:pPr>
              <w:jc w:val="center"/>
              <w:rPr>
                <w:rFonts w:eastAsia="仿宋_GB2312"/>
                <w:szCs w:val="21"/>
              </w:rPr>
            </w:pPr>
            <w:r>
              <w:rPr>
                <w:rFonts w:eastAsia="仿宋_GB2312"/>
                <w:szCs w:val="21"/>
              </w:rPr>
              <w:t>三级</w:t>
            </w:r>
          </w:p>
          <w:p>
            <w:pPr>
              <w:jc w:val="center"/>
              <w:rPr>
                <w:rFonts w:eastAsia="仿宋_GB2312"/>
                <w:szCs w:val="21"/>
              </w:rPr>
            </w:pPr>
            <w:r>
              <w:rPr>
                <w:rFonts w:eastAsia="仿宋_GB2312"/>
                <w:szCs w:val="21"/>
              </w:rPr>
              <w:t>指标</w:t>
            </w:r>
          </w:p>
        </w:tc>
        <w:tc>
          <w:tcPr>
            <w:tcW w:w="1885" w:type="dxa"/>
            <w:vMerge w:val="restart"/>
            <w:tcBorders>
              <w:bottom w:val="nil"/>
            </w:tcBorders>
            <w:noWrap/>
            <w:vAlign w:val="center"/>
          </w:tcPr>
          <w:p>
            <w:pPr>
              <w:jc w:val="center"/>
              <w:rPr>
                <w:rFonts w:eastAsia="仿宋_GB2312"/>
                <w:szCs w:val="21"/>
              </w:rPr>
            </w:pPr>
            <w:r>
              <w:rPr>
                <w:rFonts w:eastAsia="仿宋_GB2312"/>
                <w:szCs w:val="21"/>
              </w:rPr>
              <w:t>评 （扣）分标准</w:t>
            </w:r>
          </w:p>
        </w:tc>
        <w:tc>
          <w:tcPr>
            <w:tcW w:w="4201" w:type="dxa"/>
            <w:vMerge w:val="restart"/>
            <w:tcBorders>
              <w:bottom w:val="nil"/>
            </w:tcBorders>
            <w:noWrap/>
            <w:vAlign w:val="center"/>
          </w:tcPr>
          <w:p>
            <w:pPr>
              <w:jc w:val="center"/>
              <w:rPr>
                <w:rFonts w:eastAsia="仿宋_GB2312"/>
                <w:szCs w:val="21"/>
              </w:rPr>
            </w:pPr>
            <w:r>
              <w:rPr>
                <w:rFonts w:eastAsia="仿宋_GB2312"/>
                <w:szCs w:val="21"/>
              </w:rPr>
              <w:t>绩效指标</w:t>
            </w:r>
          </w:p>
          <w:p>
            <w:pPr>
              <w:jc w:val="center"/>
              <w:rPr>
                <w:rFonts w:eastAsia="仿宋_GB2312"/>
                <w:szCs w:val="21"/>
              </w:rPr>
            </w:pPr>
            <w:r>
              <w:rPr>
                <w:rFonts w:eastAsia="仿宋_GB2312"/>
                <w:szCs w:val="21"/>
              </w:rPr>
              <w:t>描述</w:t>
            </w:r>
          </w:p>
        </w:tc>
        <w:tc>
          <w:tcPr>
            <w:tcW w:w="2730" w:type="dxa"/>
            <w:gridSpan w:val="3"/>
            <w:noWrap/>
            <w:vAlign w:val="center"/>
          </w:tcPr>
          <w:p>
            <w:pPr>
              <w:jc w:val="center"/>
              <w:rPr>
                <w:rFonts w:eastAsia="仿宋_GB2312"/>
                <w:szCs w:val="21"/>
              </w:rPr>
            </w:pPr>
            <w:r>
              <w:rPr>
                <w:rFonts w:eastAsia="仿宋_GB2312"/>
                <w:szCs w:val="21"/>
              </w:rPr>
              <w:t>指标值</w:t>
            </w:r>
          </w:p>
        </w:tc>
        <w:tc>
          <w:tcPr>
            <w:tcW w:w="2490" w:type="dxa"/>
            <w:vMerge w:val="restart"/>
            <w:tcBorders>
              <w:bottom w:val="nil"/>
            </w:tcBorders>
            <w:noWrap/>
            <w:vAlign w:val="center"/>
          </w:tcPr>
          <w:p>
            <w:pPr>
              <w:jc w:val="center"/>
              <w:rPr>
                <w:rFonts w:eastAsia="仿宋_GB2312"/>
                <w:szCs w:val="21"/>
              </w:rPr>
            </w:pPr>
            <w:r>
              <w:rPr>
                <w:rFonts w:eastAsia="仿宋_GB2312"/>
                <w:szCs w:val="21"/>
              </w:rPr>
              <w:t>指标值</w:t>
            </w:r>
          </w:p>
          <w:p>
            <w:pPr>
              <w:jc w:val="center"/>
              <w:rPr>
                <w:rFonts w:eastAsia="仿宋_GB2312"/>
                <w:szCs w:val="21"/>
              </w:rPr>
            </w:pPr>
            <w:r>
              <w:rPr>
                <w:rFonts w:eastAsia="仿宋_GB2312"/>
                <w:szCs w:val="21"/>
              </w:rPr>
              <w:t>确定依据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42" w:hRule="atLeast"/>
        </w:trPr>
        <w:tc>
          <w:tcPr>
            <w:tcW w:w="626" w:type="dxa"/>
            <w:vMerge w:val="continue"/>
            <w:tcBorders>
              <w:top w:val="nil"/>
            </w:tcBorders>
            <w:noWrap/>
          </w:tcPr>
          <w:p>
            <w:pPr>
              <w:rPr>
                <w:rFonts w:eastAsia="仿宋_GB2312"/>
                <w:szCs w:val="21"/>
              </w:rPr>
            </w:pPr>
          </w:p>
        </w:tc>
        <w:tc>
          <w:tcPr>
            <w:tcW w:w="729" w:type="dxa"/>
            <w:vMerge w:val="continue"/>
            <w:tcBorders>
              <w:top w:val="nil"/>
            </w:tcBorders>
            <w:noWrap/>
          </w:tcPr>
          <w:p>
            <w:pPr>
              <w:rPr>
                <w:rFonts w:eastAsia="仿宋_GB2312"/>
                <w:szCs w:val="21"/>
              </w:rPr>
            </w:pPr>
          </w:p>
        </w:tc>
        <w:tc>
          <w:tcPr>
            <w:tcW w:w="1197" w:type="dxa"/>
            <w:vMerge w:val="continue"/>
            <w:tcBorders>
              <w:top w:val="nil"/>
            </w:tcBorders>
            <w:noWrap/>
          </w:tcPr>
          <w:p>
            <w:pPr>
              <w:rPr>
                <w:rFonts w:eastAsia="仿宋_GB2312"/>
                <w:szCs w:val="21"/>
              </w:rPr>
            </w:pPr>
          </w:p>
        </w:tc>
        <w:tc>
          <w:tcPr>
            <w:tcW w:w="1885" w:type="dxa"/>
            <w:vMerge w:val="continue"/>
            <w:tcBorders>
              <w:top w:val="nil"/>
            </w:tcBorders>
            <w:noWrap/>
          </w:tcPr>
          <w:p>
            <w:pPr>
              <w:rPr>
                <w:rFonts w:eastAsia="仿宋_GB2312"/>
                <w:szCs w:val="21"/>
              </w:rPr>
            </w:pPr>
          </w:p>
        </w:tc>
        <w:tc>
          <w:tcPr>
            <w:tcW w:w="4201" w:type="dxa"/>
            <w:vMerge w:val="continue"/>
            <w:tcBorders>
              <w:top w:val="nil"/>
            </w:tcBorders>
            <w:noWrap/>
          </w:tcPr>
          <w:p>
            <w:pPr>
              <w:rPr>
                <w:rFonts w:eastAsia="仿宋_GB2312"/>
                <w:szCs w:val="21"/>
              </w:rPr>
            </w:pPr>
          </w:p>
        </w:tc>
        <w:tc>
          <w:tcPr>
            <w:tcW w:w="1035" w:type="dxa"/>
            <w:noWrap/>
          </w:tcPr>
          <w:p>
            <w:pPr>
              <w:jc w:val="center"/>
              <w:rPr>
                <w:rFonts w:eastAsia="仿宋_GB2312"/>
                <w:szCs w:val="21"/>
              </w:rPr>
            </w:pPr>
            <w:r>
              <w:rPr>
                <w:rFonts w:eastAsia="仿宋_GB2312"/>
                <w:szCs w:val="21"/>
              </w:rPr>
              <w:t>符号</w:t>
            </w:r>
          </w:p>
        </w:tc>
        <w:tc>
          <w:tcPr>
            <w:tcW w:w="855" w:type="dxa"/>
            <w:noWrap/>
          </w:tcPr>
          <w:p>
            <w:pPr>
              <w:jc w:val="center"/>
              <w:rPr>
                <w:rFonts w:eastAsia="仿宋_GB2312"/>
                <w:szCs w:val="21"/>
              </w:rPr>
            </w:pPr>
            <w:r>
              <w:rPr>
                <w:rFonts w:eastAsia="仿宋_GB2312"/>
                <w:szCs w:val="21"/>
              </w:rPr>
              <w:t>值</w:t>
            </w:r>
          </w:p>
        </w:tc>
        <w:tc>
          <w:tcPr>
            <w:tcW w:w="840" w:type="dxa"/>
            <w:noWrap/>
          </w:tcPr>
          <w:p>
            <w:pPr>
              <w:jc w:val="center"/>
              <w:rPr>
                <w:rFonts w:eastAsia="仿宋_GB2312"/>
                <w:szCs w:val="21"/>
              </w:rPr>
            </w:pPr>
            <w:r>
              <w:rPr>
                <w:rFonts w:eastAsia="仿宋_GB2312"/>
                <w:szCs w:val="21"/>
              </w:rPr>
              <w:t>单位</w:t>
            </w:r>
          </w:p>
        </w:tc>
        <w:tc>
          <w:tcPr>
            <w:tcW w:w="2490" w:type="dxa"/>
            <w:vMerge w:val="continue"/>
            <w:tcBorders>
              <w:top w:val="nil"/>
            </w:tcBorders>
            <w:noWrap/>
          </w:tcPr>
          <w:p>
            <w:pPr>
              <w:rPr>
                <w:rFonts w:eastAsia="仿宋_GB2312"/>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653" w:hRule="atLeast"/>
        </w:trPr>
        <w:tc>
          <w:tcPr>
            <w:tcW w:w="626" w:type="dxa"/>
            <w:vMerge w:val="restart"/>
            <w:tcBorders>
              <w:top w:val="single" w:color="auto" w:sz="4" w:space="0"/>
              <w:bottom w:val="nil"/>
            </w:tcBorders>
            <w:noWrap/>
          </w:tcPr>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rPr>
                <w:rFonts w:eastAsia="仿宋_GB2312"/>
                <w:szCs w:val="21"/>
              </w:rPr>
            </w:pPr>
          </w:p>
          <w:p>
            <w:pPr>
              <w:jc w:val="center"/>
              <w:rPr>
                <w:rFonts w:eastAsia="仿宋_GB2312"/>
                <w:szCs w:val="21"/>
              </w:rPr>
            </w:pPr>
            <w:r>
              <w:rPr>
                <w:rFonts w:eastAsia="仿宋_GB2312"/>
                <w:szCs w:val="21"/>
              </w:rPr>
              <w:t>部</w:t>
            </w:r>
          </w:p>
          <w:p>
            <w:pPr>
              <w:jc w:val="center"/>
              <w:rPr>
                <w:rFonts w:eastAsia="仿宋_GB2312"/>
                <w:szCs w:val="21"/>
              </w:rPr>
            </w:pPr>
            <w:r>
              <w:rPr>
                <w:rFonts w:eastAsia="仿宋_GB2312"/>
                <w:szCs w:val="21"/>
              </w:rPr>
              <w:t>门</w:t>
            </w:r>
          </w:p>
          <w:p>
            <w:pPr>
              <w:jc w:val="center"/>
              <w:rPr>
                <w:rFonts w:eastAsia="仿宋_GB2312"/>
                <w:szCs w:val="21"/>
              </w:rPr>
            </w:pPr>
            <w:r>
              <w:rPr>
                <w:rFonts w:eastAsia="仿宋_GB2312"/>
                <w:szCs w:val="21"/>
              </w:rPr>
              <w:t>产</w:t>
            </w:r>
          </w:p>
          <w:p>
            <w:pPr>
              <w:jc w:val="center"/>
              <w:rPr>
                <w:rFonts w:eastAsia="仿宋_GB2312"/>
                <w:szCs w:val="21"/>
              </w:rPr>
            </w:pPr>
            <w:r>
              <w:rPr>
                <w:rFonts w:eastAsia="仿宋_GB2312"/>
                <w:szCs w:val="21"/>
              </w:rPr>
              <w:t>出</w:t>
            </w:r>
          </w:p>
        </w:tc>
        <w:tc>
          <w:tcPr>
            <w:tcW w:w="729" w:type="dxa"/>
            <w:vMerge w:val="restart"/>
            <w:tcBorders>
              <w:top w:val="single" w:color="auto" w:sz="4" w:space="0"/>
              <w:bottom w:val="nil"/>
            </w:tcBorders>
            <w:noWrap/>
          </w:tcPr>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r>
              <w:rPr>
                <w:rFonts w:hint="eastAsia" w:eastAsia="仿宋_GB2312"/>
                <w:szCs w:val="21"/>
              </w:rPr>
              <w:t>时效</w:t>
            </w:r>
          </w:p>
        </w:tc>
        <w:tc>
          <w:tcPr>
            <w:tcW w:w="1197" w:type="dxa"/>
            <w:noWrap/>
            <w:vAlign w:val="center"/>
          </w:tcPr>
          <w:p>
            <w:pPr>
              <w:rPr>
                <w:rFonts w:eastAsia="仿宋_GB2312"/>
                <w:szCs w:val="21"/>
              </w:rPr>
            </w:pPr>
            <w:r>
              <w:rPr>
                <w:rFonts w:hint="eastAsia" w:eastAsia="仿宋_GB2312"/>
                <w:szCs w:val="21"/>
              </w:rPr>
              <w:t>及时完成省、市委、市政府交办的工作任务</w:t>
            </w:r>
          </w:p>
        </w:tc>
        <w:tc>
          <w:tcPr>
            <w:tcW w:w="1885" w:type="dxa"/>
            <w:noWrap/>
            <w:vAlign w:val="center"/>
          </w:tcPr>
          <w:p>
            <w:pPr>
              <w:rPr>
                <w:rFonts w:eastAsia="仿宋_GB2312"/>
                <w:szCs w:val="21"/>
              </w:rPr>
            </w:pPr>
            <w:r>
              <w:rPr>
                <w:rFonts w:hint="eastAsia" w:eastAsia="仿宋_GB2312"/>
                <w:szCs w:val="21"/>
              </w:rPr>
              <w:t>符合指标值得满分，不符合不得分</w:t>
            </w:r>
          </w:p>
        </w:tc>
        <w:tc>
          <w:tcPr>
            <w:tcW w:w="4201" w:type="dxa"/>
            <w:noWrap/>
            <w:vAlign w:val="center"/>
          </w:tcPr>
          <w:p>
            <w:pPr>
              <w:rPr>
                <w:rFonts w:eastAsia="仿宋_GB2312"/>
                <w:szCs w:val="21"/>
              </w:rPr>
            </w:pPr>
            <w:r>
              <w:rPr>
                <w:rFonts w:hint="eastAsia" w:eastAsia="仿宋_GB2312"/>
                <w:szCs w:val="21"/>
              </w:rPr>
              <w:t>及时完成省、市委、市政府交办的工作任务及时性</w:t>
            </w:r>
          </w:p>
        </w:tc>
        <w:tc>
          <w:tcPr>
            <w:tcW w:w="1035" w:type="dxa"/>
            <w:noWrap/>
            <w:vAlign w:val="center"/>
          </w:tcPr>
          <w:p>
            <w:pPr>
              <w:jc w:val="center"/>
              <w:rPr>
                <w:rFonts w:eastAsia="仿宋_GB2312"/>
                <w:szCs w:val="21"/>
              </w:rPr>
            </w:pPr>
            <w:r>
              <w:rPr>
                <w:rFonts w:hint="eastAsia" w:eastAsia="仿宋_GB2312"/>
                <w:szCs w:val="21"/>
              </w:rPr>
              <w:t>文字描述</w:t>
            </w:r>
          </w:p>
        </w:tc>
        <w:tc>
          <w:tcPr>
            <w:tcW w:w="855" w:type="dxa"/>
            <w:noWrap/>
            <w:vAlign w:val="center"/>
          </w:tcPr>
          <w:p>
            <w:pPr>
              <w:jc w:val="center"/>
              <w:rPr>
                <w:rFonts w:eastAsia="仿宋_GB2312"/>
                <w:szCs w:val="21"/>
              </w:rPr>
            </w:pPr>
            <w:r>
              <w:rPr>
                <w:rFonts w:hint="eastAsia" w:eastAsia="仿宋_GB2312"/>
                <w:szCs w:val="21"/>
              </w:rPr>
              <w:t>及时</w:t>
            </w:r>
          </w:p>
        </w:tc>
        <w:tc>
          <w:tcPr>
            <w:tcW w:w="840" w:type="dxa"/>
            <w:noWrap/>
            <w:vAlign w:val="center"/>
          </w:tcPr>
          <w:p>
            <w:pPr>
              <w:jc w:val="center"/>
              <w:rPr>
                <w:rFonts w:eastAsia="仿宋_GB2312"/>
                <w:szCs w:val="21"/>
              </w:rPr>
            </w:pPr>
          </w:p>
        </w:tc>
        <w:tc>
          <w:tcPr>
            <w:tcW w:w="2490" w:type="dxa"/>
            <w:noWrap/>
            <w:vAlign w:val="center"/>
          </w:tcPr>
          <w:p>
            <w:pPr>
              <w:jc w:val="center"/>
              <w:rPr>
                <w:rFonts w:eastAsia="仿宋_GB2312"/>
                <w:szCs w:val="21"/>
              </w:rPr>
            </w:pPr>
            <w:r>
              <w:rPr>
                <w:rFonts w:hint="eastAsia" w:eastAsia="仿宋_GB2312"/>
                <w:szCs w:val="21"/>
              </w:rPr>
              <w:t>工作方案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339" w:hRule="atLeast"/>
        </w:trPr>
        <w:tc>
          <w:tcPr>
            <w:tcW w:w="626" w:type="dxa"/>
            <w:vMerge w:val="continue"/>
            <w:tcBorders>
              <w:top w:val="nil"/>
              <w:bottom w:val="nil"/>
            </w:tcBorders>
            <w:noWrap/>
          </w:tcPr>
          <w:p>
            <w:pPr>
              <w:rPr>
                <w:rFonts w:eastAsia="仿宋_GB2312"/>
                <w:szCs w:val="21"/>
              </w:rPr>
            </w:pPr>
          </w:p>
        </w:tc>
        <w:tc>
          <w:tcPr>
            <w:tcW w:w="729" w:type="dxa"/>
            <w:vMerge w:val="continue"/>
            <w:tcBorders>
              <w:top w:val="nil"/>
            </w:tcBorders>
            <w:noWrap/>
          </w:tcPr>
          <w:p>
            <w:pPr>
              <w:jc w:val="center"/>
              <w:rPr>
                <w:rFonts w:eastAsia="仿宋_GB2312"/>
                <w:szCs w:val="21"/>
              </w:rPr>
            </w:pPr>
          </w:p>
        </w:tc>
        <w:tc>
          <w:tcPr>
            <w:tcW w:w="1197" w:type="dxa"/>
            <w:noWrap/>
            <w:vAlign w:val="center"/>
          </w:tcPr>
          <w:p>
            <w:pPr>
              <w:rPr>
                <w:rFonts w:eastAsia="仿宋_GB2312"/>
                <w:szCs w:val="21"/>
              </w:rPr>
            </w:pPr>
            <w:r>
              <w:rPr>
                <w:rFonts w:hint="eastAsia" w:eastAsia="仿宋_GB2312"/>
                <w:szCs w:val="21"/>
              </w:rPr>
              <w:t>资金拨付及时性</w:t>
            </w:r>
          </w:p>
        </w:tc>
        <w:tc>
          <w:tcPr>
            <w:tcW w:w="1885" w:type="dxa"/>
            <w:noWrap/>
            <w:vAlign w:val="center"/>
          </w:tcPr>
          <w:p>
            <w:pPr>
              <w:rPr>
                <w:rFonts w:eastAsia="仿宋_GB2312"/>
                <w:szCs w:val="21"/>
              </w:rPr>
            </w:pPr>
            <w:r>
              <w:rPr>
                <w:rFonts w:hint="eastAsia" w:eastAsia="仿宋_GB2312"/>
                <w:szCs w:val="21"/>
              </w:rPr>
              <w:t>符合指标值得满分，不符合不得分。</w:t>
            </w:r>
          </w:p>
        </w:tc>
        <w:tc>
          <w:tcPr>
            <w:tcW w:w="4201" w:type="dxa"/>
            <w:noWrap/>
            <w:vAlign w:val="center"/>
          </w:tcPr>
          <w:p>
            <w:pPr>
              <w:rPr>
                <w:rFonts w:eastAsia="仿宋_GB2312"/>
                <w:szCs w:val="21"/>
              </w:rPr>
            </w:pPr>
            <w:r>
              <w:rPr>
                <w:rFonts w:hint="eastAsia" w:eastAsia="仿宋_GB2312"/>
                <w:szCs w:val="21"/>
              </w:rPr>
              <w:t>按年度完成资金拨付任务</w:t>
            </w:r>
          </w:p>
        </w:tc>
        <w:tc>
          <w:tcPr>
            <w:tcW w:w="1035" w:type="dxa"/>
            <w:noWrap/>
            <w:vAlign w:val="center"/>
          </w:tcPr>
          <w:p>
            <w:pPr>
              <w:jc w:val="center"/>
              <w:rPr>
                <w:rFonts w:eastAsia="仿宋_GB2312"/>
                <w:szCs w:val="21"/>
              </w:rPr>
            </w:pPr>
            <w:r>
              <w:rPr>
                <w:rFonts w:hint="eastAsia" w:eastAsia="仿宋_GB2312"/>
                <w:szCs w:val="21"/>
              </w:rPr>
              <w:t>文字描述</w:t>
            </w:r>
          </w:p>
        </w:tc>
        <w:tc>
          <w:tcPr>
            <w:tcW w:w="855" w:type="dxa"/>
            <w:noWrap/>
            <w:vAlign w:val="center"/>
          </w:tcPr>
          <w:p>
            <w:pPr>
              <w:jc w:val="center"/>
              <w:rPr>
                <w:rFonts w:eastAsia="仿宋_GB2312"/>
                <w:szCs w:val="21"/>
              </w:rPr>
            </w:pPr>
            <w:r>
              <w:rPr>
                <w:rFonts w:hint="eastAsia" w:eastAsia="仿宋_GB2312"/>
                <w:szCs w:val="21"/>
              </w:rPr>
              <w:t>及时</w:t>
            </w:r>
          </w:p>
        </w:tc>
        <w:tc>
          <w:tcPr>
            <w:tcW w:w="840" w:type="dxa"/>
            <w:noWrap/>
            <w:vAlign w:val="center"/>
          </w:tcPr>
          <w:p>
            <w:pPr>
              <w:jc w:val="center"/>
              <w:rPr>
                <w:rFonts w:eastAsia="仿宋_GB2312"/>
                <w:szCs w:val="21"/>
              </w:rPr>
            </w:pPr>
          </w:p>
        </w:tc>
        <w:tc>
          <w:tcPr>
            <w:tcW w:w="2490" w:type="dxa"/>
            <w:noWrap/>
            <w:vAlign w:val="center"/>
          </w:tcPr>
          <w:p>
            <w:pPr>
              <w:jc w:val="center"/>
              <w:rPr>
                <w:rFonts w:eastAsia="仿宋_GB2312"/>
                <w:szCs w:val="21"/>
              </w:rPr>
            </w:pPr>
            <w:r>
              <w:rPr>
                <w:rFonts w:hint="eastAsia" w:eastAsia="仿宋_GB2312"/>
                <w:szCs w:val="21"/>
              </w:rPr>
              <w:t>资金拨付凭证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308" w:hRule="atLeast"/>
        </w:trPr>
        <w:tc>
          <w:tcPr>
            <w:tcW w:w="626" w:type="dxa"/>
            <w:vMerge w:val="restart"/>
            <w:tcBorders>
              <w:top w:val="nil"/>
              <w:bottom w:val="nil"/>
            </w:tcBorders>
            <w:noWrap/>
          </w:tcPr>
          <w:p>
            <w:pPr>
              <w:rPr>
                <w:rFonts w:eastAsia="仿宋_GB2312"/>
                <w:szCs w:val="21"/>
              </w:rPr>
            </w:pPr>
          </w:p>
        </w:tc>
        <w:tc>
          <w:tcPr>
            <w:tcW w:w="729" w:type="dxa"/>
            <w:vMerge w:val="restart"/>
            <w:tcBorders>
              <w:bottom w:val="nil"/>
            </w:tcBorders>
            <w:noWrap/>
          </w:tcPr>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p>
          <w:p>
            <w:pPr>
              <w:jc w:val="center"/>
              <w:rPr>
                <w:rFonts w:eastAsia="仿宋_GB2312"/>
                <w:szCs w:val="21"/>
              </w:rPr>
            </w:pPr>
            <w:r>
              <w:rPr>
                <w:rFonts w:eastAsia="仿宋_GB2312"/>
                <w:szCs w:val="21"/>
              </w:rPr>
              <w:t>成本</w:t>
            </w:r>
          </w:p>
        </w:tc>
        <w:tc>
          <w:tcPr>
            <w:tcW w:w="1197" w:type="dxa"/>
            <w:noWrap/>
            <w:vAlign w:val="center"/>
          </w:tcPr>
          <w:p>
            <w:pPr>
              <w:rPr>
                <w:rFonts w:eastAsia="仿宋_GB2312"/>
                <w:szCs w:val="21"/>
                <w:highlight w:val="none"/>
              </w:rPr>
            </w:pPr>
            <w:r>
              <w:rPr>
                <w:rFonts w:hint="eastAsia" w:eastAsia="仿宋_GB2312"/>
                <w:szCs w:val="21"/>
                <w:highlight w:val="none"/>
              </w:rPr>
              <w:t>储备物资成本控制</w:t>
            </w:r>
            <w:r>
              <w:rPr>
                <w:rFonts w:hint="eastAsia" w:eastAsia="仿宋_GB2312"/>
                <w:szCs w:val="21"/>
                <w:highlight w:val="none"/>
                <w:lang w:val="en-US" w:eastAsia="zh-CN"/>
              </w:rPr>
              <w:t>金</w:t>
            </w:r>
            <w:r>
              <w:rPr>
                <w:rFonts w:hint="eastAsia" w:eastAsia="仿宋_GB2312"/>
                <w:szCs w:val="21"/>
                <w:highlight w:val="none"/>
              </w:rPr>
              <w:t>额</w:t>
            </w:r>
          </w:p>
        </w:tc>
        <w:tc>
          <w:tcPr>
            <w:tcW w:w="1885" w:type="dxa"/>
            <w:noWrap/>
            <w:vAlign w:val="center"/>
          </w:tcPr>
          <w:p>
            <w:pPr>
              <w:rPr>
                <w:rFonts w:eastAsia="仿宋_GB2312"/>
                <w:szCs w:val="21"/>
              </w:rPr>
            </w:pPr>
            <w:r>
              <w:rPr>
                <w:rFonts w:hint="eastAsia" w:eastAsia="仿宋_GB2312"/>
                <w:szCs w:val="21"/>
              </w:rPr>
              <w:t>符合指标值得满分，每增加1.5万元，扣除权重的10%</w:t>
            </w:r>
          </w:p>
        </w:tc>
        <w:tc>
          <w:tcPr>
            <w:tcW w:w="4201" w:type="dxa"/>
            <w:noWrap/>
            <w:vAlign w:val="center"/>
          </w:tcPr>
          <w:p>
            <w:pPr>
              <w:rPr>
                <w:rFonts w:eastAsia="仿宋_GB2312"/>
                <w:szCs w:val="21"/>
              </w:rPr>
            </w:pPr>
            <w:r>
              <w:rPr>
                <w:rFonts w:hint="eastAsia" w:eastAsia="仿宋_GB2312"/>
                <w:szCs w:val="21"/>
              </w:rPr>
              <w:t>储备物资费用支出控制在预算范围内</w:t>
            </w:r>
          </w:p>
        </w:tc>
        <w:tc>
          <w:tcPr>
            <w:tcW w:w="1035" w:type="dxa"/>
            <w:noWrap/>
            <w:vAlign w:val="center"/>
          </w:tcPr>
          <w:p>
            <w:pPr>
              <w:jc w:val="center"/>
              <w:rPr>
                <w:rFonts w:eastAsia="仿宋_GB2312"/>
                <w:szCs w:val="21"/>
              </w:rPr>
            </w:pPr>
            <w:r>
              <w:rPr>
                <w:rFonts w:hint="eastAsia" w:eastAsia="仿宋_GB2312"/>
                <w:szCs w:val="21"/>
              </w:rPr>
              <w:t>≤</w:t>
            </w:r>
          </w:p>
        </w:tc>
        <w:tc>
          <w:tcPr>
            <w:tcW w:w="855" w:type="dxa"/>
            <w:noWrap/>
            <w:vAlign w:val="center"/>
          </w:tcPr>
          <w:p>
            <w:pPr>
              <w:jc w:val="center"/>
              <w:rPr>
                <w:rFonts w:eastAsia="仿宋_GB2312"/>
                <w:szCs w:val="21"/>
              </w:rPr>
            </w:pPr>
            <w:r>
              <w:rPr>
                <w:rFonts w:hint="eastAsia" w:eastAsia="仿宋_GB2312"/>
                <w:szCs w:val="21"/>
              </w:rPr>
              <w:t>150</w:t>
            </w:r>
          </w:p>
        </w:tc>
        <w:tc>
          <w:tcPr>
            <w:tcW w:w="840" w:type="dxa"/>
            <w:noWrap/>
            <w:vAlign w:val="center"/>
          </w:tcPr>
          <w:p>
            <w:pPr>
              <w:jc w:val="center"/>
              <w:rPr>
                <w:rFonts w:eastAsia="仿宋_GB2312"/>
                <w:szCs w:val="21"/>
              </w:rPr>
            </w:pPr>
            <w:r>
              <w:rPr>
                <w:rFonts w:hint="eastAsia" w:eastAsia="仿宋_GB2312"/>
                <w:szCs w:val="21"/>
              </w:rPr>
              <w:t>万元</w:t>
            </w:r>
          </w:p>
        </w:tc>
        <w:tc>
          <w:tcPr>
            <w:tcW w:w="2490" w:type="dxa"/>
            <w:noWrap/>
            <w:vAlign w:val="center"/>
          </w:tcPr>
          <w:p>
            <w:pPr>
              <w:jc w:val="center"/>
              <w:rPr>
                <w:rFonts w:eastAsia="仿宋_GB2312"/>
                <w:szCs w:val="21"/>
              </w:rPr>
            </w:pPr>
            <w:r>
              <w:rPr>
                <w:rFonts w:hint="eastAsia" w:eastAsia="仿宋_GB2312"/>
                <w:szCs w:val="21"/>
              </w:rPr>
              <w:t>财务支出凭证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591" w:hRule="atLeast"/>
        </w:trPr>
        <w:tc>
          <w:tcPr>
            <w:tcW w:w="626" w:type="dxa"/>
            <w:vMerge w:val="continue"/>
            <w:tcBorders>
              <w:top w:val="nil"/>
              <w:bottom w:val="nil"/>
            </w:tcBorders>
            <w:noWrap/>
          </w:tcPr>
          <w:p>
            <w:pPr>
              <w:rPr>
                <w:rFonts w:eastAsia="仿宋_GB2312"/>
                <w:szCs w:val="21"/>
              </w:rPr>
            </w:pPr>
          </w:p>
        </w:tc>
        <w:tc>
          <w:tcPr>
            <w:tcW w:w="729" w:type="dxa"/>
            <w:vMerge w:val="continue"/>
            <w:tcBorders>
              <w:top w:val="nil"/>
              <w:bottom w:val="nil"/>
            </w:tcBorders>
            <w:noWrap/>
          </w:tcPr>
          <w:p>
            <w:pPr>
              <w:rPr>
                <w:rFonts w:eastAsia="仿宋_GB2312"/>
                <w:szCs w:val="21"/>
              </w:rPr>
            </w:pPr>
          </w:p>
        </w:tc>
        <w:tc>
          <w:tcPr>
            <w:tcW w:w="1197" w:type="dxa"/>
            <w:noWrap/>
            <w:vAlign w:val="center"/>
          </w:tcPr>
          <w:p>
            <w:pPr>
              <w:rPr>
                <w:rFonts w:eastAsia="仿宋_GB2312"/>
                <w:szCs w:val="21"/>
                <w:highlight w:val="none"/>
              </w:rPr>
            </w:pPr>
            <w:r>
              <w:rPr>
                <w:rFonts w:hint="eastAsia" w:eastAsia="仿宋_GB2312"/>
                <w:szCs w:val="21"/>
                <w:highlight w:val="none"/>
              </w:rPr>
              <w:t>促进人工智能产业发展“算力券”</w:t>
            </w:r>
            <w:r>
              <w:rPr>
                <w:rFonts w:hint="eastAsia" w:eastAsia="仿宋_GB2312"/>
                <w:szCs w:val="21"/>
                <w:highlight w:val="none"/>
                <w:lang w:val="en-US" w:eastAsia="zh-CN"/>
              </w:rPr>
              <w:t>项目</w:t>
            </w:r>
            <w:r>
              <w:rPr>
                <w:rFonts w:hint="eastAsia" w:eastAsia="仿宋_GB2312"/>
                <w:szCs w:val="21"/>
                <w:highlight w:val="none"/>
              </w:rPr>
              <w:t>成本控制额</w:t>
            </w:r>
          </w:p>
        </w:tc>
        <w:tc>
          <w:tcPr>
            <w:tcW w:w="1885" w:type="dxa"/>
            <w:noWrap/>
            <w:vAlign w:val="center"/>
          </w:tcPr>
          <w:p>
            <w:pPr>
              <w:rPr>
                <w:rFonts w:eastAsia="仿宋_GB2312"/>
                <w:szCs w:val="21"/>
              </w:rPr>
            </w:pPr>
            <w:r>
              <w:rPr>
                <w:rFonts w:hint="eastAsia" w:eastAsia="仿宋_GB2312"/>
                <w:szCs w:val="21"/>
              </w:rPr>
              <w:t>符合指标值得满分，不符合不得分。</w:t>
            </w:r>
          </w:p>
        </w:tc>
        <w:tc>
          <w:tcPr>
            <w:tcW w:w="4201" w:type="dxa"/>
            <w:noWrap/>
            <w:vAlign w:val="center"/>
          </w:tcPr>
          <w:p>
            <w:pPr>
              <w:rPr>
                <w:rFonts w:eastAsia="仿宋_GB2312"/>
                <w:szCs w:val="21"/>
              </w:rPr>
            </w:pPr>
            <w:r>
              <w:rPr>
                <w:rFonts w:hint="eastAsia" w:eastAsia="仿宋_GB2312"/>
                <w:szCs w:val="21"/>
              </w:rPr>
              <w:t>促进人工智能产业发展“算力券”专项资金费用支出成本控制在预算标准范围内</w:t>
            </w:r>
          </w:p>
        </w:tc>
        <w:tc>
          <w:tcPr>
            <w:tcW w:w="1035" w:type="dxa"/>
            <w:noWrap/>
            <w:vAlign w:val="center"/>
          </w:tcPr>
          <w:p>
            <w:pPr>
              <w:jc w:val="center"/>
              <w:rPr>
                <w:rFonts w:eastAsia="仿宋_GB2312"/>
                <w:szCs w:val="21"/>
              </w:rPr>
            </w:pPr>
            <w:r>
              <w:rPr>
                <w:rFonts w:eastAsia="仿宋_GB2312"/>
                <w:szCs w:val="21"/>
              </w:rPr>
              <w:t>≤</w:t>
            </w:r>
          </w:p>
        </w:tc>
        <w:tc>
          <w:tcPr>
            <w:tcW w:w="855" w:type="dxa"/>
            <w:noWrap/>
            <w:vAlign w:val="center"/>
          </w:tcPr>
          <w:p>
            <w:pPr>
              <w:jc w:val="center"/>
              <w:rPr>
                <w:rFonts w:eastAsia="仿宋_GB2312"/>
                <w:szCs w:val="21"/>
              </w:rPr>
            </w:pPr>
            <w:r>
              <w:rPr>
                <w:rFonts w:hint="eastAsia" w:eastAsia="仿宋_GB2312"/>
                <w:szCs w:val="21"/>
              </w:rPr>
              <w:t>1000</w:t>
            </w:r>
          </w:p>
        </w:tc>
        <w:tc>
          <w:tcPr>
            <w:tcW w:w="840" w:type="dxa"/>
            <w:noWrap/>
            <w:vAlign w:val="center"/>
          </w:tcPr>
          <w:p>
            <w:pPr>
              <w:jc w:val="center"/>
              <w:rPr>
                <w:rFonts w:eastAsia="仿宋_GB2312"/>
                <w:szCs w:val="21"/>
              </w:rPr>
            </w:pPr>
            <w:r>
              <w:rPr>
                <w:rFonts w:hint="eastAsia" w:eastAsia="仿宋_GB2312"/>
                <w:szCs w:val="21"/>
              </w:rPr>
              <w:t>万元</w:t>
            </w:r>
          </w:p>
        </w:tc>
        <w:tc>
          <w:tcPr>
            <w:tcW w:w="2490" w:type="dxa"/>
            <w:noWrap/>
            <w:vAlign w:val="center"/>
          </w:tcPr>
          <w:p>
            <w:pPr>
              <w:jc w:val="center"/>
              <w:rPr>
                <w:rFonts w:eastAsia="仿宋_GB2312"/>
                <w:szCs w:val="21"/>
              </w:rPr>
            </w:pPr>
            <w:r>
              <w:rPr>
                <w:rFonts w:hint="eastAsia" w:eastAsia="仿宋_GB2312"/>
                <w:szCs w:val="21"/>
              </w:rPr>
              <w:t>预算文本</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361" w:hRule="atLeast"/>
        </w:trPr>
        <w:tc>
          <w:tcPr>
            <w:tcW w:w="626" w:type="dxa"/>
            <w:tcBorders>
              <w:top w:val="nil"/>
              <w:bottom w:val="single" w:color="auto" w:sz="4" w:space="0"/>
            </w:tcBorders>
            <w:noWrap/>
          </w:tcPr>
          <w:p>
            <w:pPr>
              <w:rPr>
                <w:rFonts w:eastAsia="仿宋_GB2312"/>
                <w:szCs w:val="21"/>
              </w:rPr>
            </w:pPr>
          </w:p>
        </w:tc>
        <w:tc>
          <w:tcPr>
            <w:tcW w:w="729" w:type="dxa"/>
            <w:tcBorders>
              <w:top w:val="nil"/>
              <w:bottom w:val="single" w:color="auto" w:sz="4" w:space="0"/>
            </w:tcBorders>
            <w:noWrap/>
          </w:tcPr>
          <w:p>
            <w:pPr>
              <w:rPr>
                <w:rFonts w:eastAsia="仿宋_GB2312"/>
                <w:szCs w:val="21"/>
              </w:rPr>
            </w:pPr>
          </w:p>
        </w:tc>
        <w:tc>
          <w:tcPr>
            <w:tcW w:w="1197" w:type="dxa"/>
            <w:noWrap/>
            <w:vAlign w:val="center"/>
          </w:tcPr>
          <w:p>
            <w:pPr>
              <w:jc w:val="left"/>
              <w:rPr>
                <w:rFonts w:eastAsia="仿宋_GB2312"/>
                <w:szCs w:val="21"/>
                <w:highlight w:val="none"/>
              </w:rPr>
            </w:pPr>
            <w:r>
              <w:rPr>
                <w:rFonts w:hint="eastAsia" w:eastAsia="仿宋_GB2312"/>
                <w:color w:val="000000"/>
                <w:kern w:val="0"/>
                <w:szCs w:val="21"/>
                <w:highlight w:val="none"/>
                <w:lang w:val="en-US" w:eastAsia="zh-CN"/>
              </w:rPr>
              <w:t>高铁</w:t>
            </w:r>
            <w:r>
              <w:rPr>
                <w:rFonts w:hint="eastAsia" w:eastAsia="仿宋_GB2312"/>
                <w:color w:val="000000"/>
                <w:kern w:val="0"/>
                <w:szCs w:val="21"/>
                <w:highlight w:val="none"/>
              </w:rPr>
              <w:t>运行补贴</w:t>
            </w:r>
            <w:r>
              <w:rPr>
                <w:rFonts w:hint="eastAsia" w:eastAsia="仿宋_GB2312"/>
                <w:szCs w:val="21"/>
                <w:highlight w:val="none"/>
              </w:rPr>
              <w:t>成本控制额</w:t>
            </w:r>
          </w:p>
        </w:tc>
        <w:tc>
          <w:tcPr>
            <w:tcW w:w="1885" w:type="dxa"/>
            <w:noWrap/>
            <w:vAlign w:val="center"/>
          </w:tcPr>
          <w:p>
            <w:pPr>
              <w:jc w:val="center"/>
              <w:rPr>
                <w:rFonts w:eastAsia="仿宋_GB2312"/>
                <w:szCs w:val="21"/>
              </w:rPr>
            </w:pPr>
            <w:r>
              <w:rPr>
                <w:rFonts w:hint="eastAsia" w:eastAsia="仿宋_GB2312"/>
                <w:szCs w:val="21"/>
              </w:rPr>
              <w:t>符合指标值得满分，每增加100万元，扣除权重的10%</w:t>
            </w:r>
          </w:p>
        </w:tc>
        <w:tc>
          <w:tcPr>
            <w:tcW w:w="4201" w:type="dxa"/>
            <w:noWrap/>
            <w:vAlign w:val="center"/>
          </w:tcPr>
          <w:p>
            <w:pPr>
              <w:jc w:val="center"/>
              <w:rPr>
                <w:rFonts w:eastAsia="仿宋_GB2312"/>
                <w:szCs w:val="21"/>
              </w:rPr>
            </w:pPr>
            <w:r>
              <w:rPr>
                <w:rFonts w:hint="eastAsia" w:eastAsia="仿宋_GB2312"/>
                <w:color w:val="000000"/>
                <w:kern w:val="0"/>
                <w:szCs w:val="21"/>
              </w:rPr>
              <w:t>廊石高铁直通列车运行补贴成本费用控制在预算范围内</w:t>
            </w:r>
          </w:p>
        </w:tc>
        <w:tc>
          <w:tcPr>
            <w:tcW w:w="1035" w:type="dxa"/>
            <w:noWrap/>
            <w:vAlign w:val="center"/>
          </w:tcPr>
          <w:p>
            <w:pPr>
              <w:jc w:val="center"/>
              <w:rPr>
                <w:rFonts w:eastAsia="仿宋_GB2312"/>
                <w:szCs w:val="21"/>
              </w:rPr>
            </w:pPr>
            <w:r>
              <w:rPr>
                <w:rFonts w:eastAsia="仿宋_GB2312"/>
                <w:szCs w:val="21"/>
              </w:rPr>
              <w:t>≤</w:t>
            </w:r>
          </w:p>
        </w:tc>
        <w:tc>
          <w:tcPr>
            <w:tcW w:w="855" w:type="dxa"/>
            <w:noWrap/>
            <w:vAlign w:val="center"/>
          </w:tcPr>
          <w:p>
            <w:pPr>
              <w:jc w:val="center"/>
              <w:rPr>
                <w:rFonts w:eastAsia="仿宋_GB2312"/>
                <w:szCs w:val="21"/>
              </w:rPr>
            </w:pPr>
            <w:r>
              <w:rPr>
                <w:rFonts w:hint="eastAsia" w:eastAsia="仿宋_GB2312"/>
                <w:szCs w:val="21"/>
              </w:rPr>
              <w:t>1000</w:t>
            </w:r>
          </w:p>
        </w:tc>
        <w:tc>
          <w:tcPr>
            <w:tcW w:w="840" w:type="dxa"/>
            <w:noWrap/>
            <w:vAlign w:val="center"/>
          </w:tcPr>
          <w:p>
            <w:pPr>
              <w:jc w:val="center"/>
              <w:rPr>
                <w:rFonts w:eastAsia="仿宋_GB2312"/>
                <w:szCs w:val="21"/>
              </w:rPr>
            </w:pPr>
            <w:r>
              <w:rPr>
                <w:rFonts w:hint="eastAsia" w:eastAsia="仿宋_GB2312"/>
                <w:szCs w:val="21"/>
              </w:rPr>
              <w:t>万元</w:t>
            </w:r>
          </w:p>
        </w:tc>
        <w:tc>
          <w:tcPr>
            <w:tcW w:w="2490" w:type="dxa"/>
            <w:noWrap/>
            <w:vAlign w:val="center"/>
          </w:tcPr>
          <w:p>
            <w:pPr>
              <w:jc w:val="center"/>
              <w:rPr>
                <w:rFonts w:eastAsia="仿宋_GB2312"/>
                <w:szCs w:val="21"/>
              </w:rPr>
            </w:pPr>
            <w:r>
              <w:rPr>
                <w:rFonts w:hint="eastAsia" w:eastAsia="仿宋_GB2312"/>
                <w:szCs w:val="21"/>
              </w:rPr>
              <w:t>财务资料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361" w:hRule="atLeast"/>
        </w:trPr>
        <w:tc>
          <w:tcPr>
            <w:tcW w:w="626" w:type="dxa"/>
            <w:tcBorders>
              <w:top w:val="single" w:color="auto" w:sz="4" w:space="0"/>
              <w:bottom w:val="nil"/>
            </w:tcBorders>
            <w:noWrap/>
          </w:tcPr>
          <w:p>
            <w:pPr>
              <w:rPr>
                <w:rFonts w:eastAsia="仿宋_GB2312"/>
                <w:szCs w:val="21"/>
              </w:rPr>
            </w:pPr>
          </w:p>
        </w:tc>
        <w:tc>
          <w:tcPr>
            <w:tcW w:w="729" w:type="dxa"/>
            <w:tcBorders>
              <w:top w:val="single" w:color="auto" w:sz="4" w:space="0"/>
              <w:bottom w:val="nil"/>
            </w:tcBorders>
            <w:noWrap/>
          </w:tcPr>
          <w:p>
            <w:pPr>
              <w:jc w:val="center"/>
              <w:rPr>
                <w:rFonts w:hint="eastAsia" w:eastAsia="仿宋_GB2312"/>
                <w:szCs w:val="21"/>
              </w:rPr>
            </w:pPr>
          </w:p>
          <w:p>
            <w:pPr>
              <w:jc w:val="center"/>
              <w:rPr>
                <w:rFonts w:hint="eastAsia" w:eastAsia="仿宋_GB2312"/>
                <w:szCs w:val="21"/>
              </w:rPr>
            </w:pPr>
          </w:p>
          <w:p>
            <w:pPr>
              <w:jc w:val="center"/>
              <w:rPr>
                <w:rFonts w:hint="eastAsia" w:eastAsia="仿宋_GB2312"/>
                <w:szCs w:val="21"/>
              </w:rPr>
            </w:pPr>
          </w:p>
          <w:p>
            <w:pPr>
              <w:jc w:val="center"/>
              <w:rPr>
                <w:rFonts w:hint="eastAsia" w:eastAsia="仿宋_GB2312"/>
                <w:szCs w:val="21"/>
              </w:rPr>
            </w:pPr>
          </w:p>
          <w:p>
            <w:pPr>
              <w:rPr>
                <w:rFonts w:eastAsia="仿宋_GB2312"/>
                <w:szCs w:val="21"/>
              </w:rPr>
            </w:pPr>
            <w:r>
              <w:rPr>
                <w:rFonts w:eastAsia="仿宋_GB2312"/>
                <w:szCs w:val="21"/>
              </w:rPr>
              <w:t>社会</w:t>
            </w:r>
          </w:p>
          <w:p>
            <w:pPr>
              <w:rPr>
                <w:rFonts w:eastAsia="仿宋_GB2312"/>
                <w:szCs w:val="21"/>
              </w:rPr>
            </w:pPr>
            <w:r>
              <w:rPr>
                <w:rFonts w:eastAsia="仿宋_GB2312"/>
                <w:szCs w:val="21"/>
              </w:rPr>
              <w:t>效益</w:t>
            </w:r>
          </w:p>
        </w:tc>
        <w:tc>
          <w:tcPr>
            <w:tcW w:w="1197" w:type="dxa"/>
            <w:noWrap/>
            <w:vAlign w:val="center"/>
          </w:tcPr>
          <w:p>
            <w:pPr>
              <w:rPr>
                <w:rFonts w:eastAsia="仿宋_GB2312"/>
                <w:szCs w:val="21"/>
              </w:rPr>
            </w:pPr>
            <w:r>
              <w:rPr>
                <w:rFonts w:hint="eastAsia" w:eastAsia="仿宋_GB2312"/>
                <w:szCs w:val="21"/>
              </w:rPr>
              <w:t>推进政府投资项目建设</w:t>
            </w:r>
          </w:p>
        </w:tc>
        <w:tc>
          <w:tcPr>
            <w:tcW w:w="1885" w:type="dxa"/>
            <w:noWrap/>
            <w:vAlign w:val="center"/>
          </w:tcPr>
          <w:p>
            <w:pPr>
              <w:rPr>
                <w:rFonts w:eastAsia="仿宋_GB2312"/>
                <w:szCs w:val="21"/>
              </w:rPr>
            </w:pPr>
            <w:r>
              <w:rPr>
                <w:rFonts w:hint="eastAsia" w:eastAsia="仿宋_GB2312"/>
                <w:szCs w:val="21"/>
              </w:rPr>
              <w:t>符合指标值得满分，不符合不得分</w:t>
            </w:r>
          </w:p>
        </w:tc>
        <w:tc>
          <w:tcPr>
            <w:tcW w:w="4201" w:type="dxa"/>
            <w:noWrap/>
            <w:vAlign w:val="center"/>
          </w:tcPr>
          <w:p>
            <w:pPr>
              <w:rPr>
                <w:rFonts w:eastAsia="仿宋_GB2312"/>
                <w:szCs w:val="21"/>
              </w:rPr>
            </w:pPr>
            <w:r>
              <w:rPr>
                <w:rFonts w:hint="eastAsia" w:eastAsia="仿宋_GB2312"/>
                <w:szCs w:val="21"/>
              </w:rPr>
              <w:t>通过对政府投资项目专项规划，对投资项目的完成起到作用。　</w:t>
            </w:r>
          </w:p>
        </w:tc>
        <w:tc>
          <w:tcPr>
            <w:tcW w:w="1035" w:type="dxa"/>
            <w:noWrap/>
          </w:tcPr>
          <w:p>
            <w:pPr>
              <w:jc w:val="center"/>
              <w:rPr>
                <w:rFonts w:eastAsia="仿宋_GB2312"/>
                <w:szCs w:val="21"/>
              </w:rPr>
            </w:pPr>
          </w:p>
          <w:p>
            <w:pPr>
              <w:jc w:val="center"/>
              <w:rPr>
                <w:rFonts w:hint="eastAsia" w:eastAsia="仿宋_GB2312"/>
                <w:szCs w:val="21"/>
              </w:rPr>
            </w:pPr>
          </w:p>
          <w:p>
            <w:pPr>
              <w:jc w:val="center"/>
              <w:rPr>
                <w:rFonts w:hint="eastAsia" w:eastAsia="仿宋_GB2312"/>
                <w:szCs w:val="21"/>
              </w:rPr>
            </w:pPr>
          </w:p>
          <w:p>
            <w:pPr>
              <w:jc w:val="center"/>
              <w:rPr>
                <w:rFonts w:eastAsia="仿宋_GB2312"/>
                <w:szCs w:val="21"/>
              </w:rPr>
            </w:pPr>
            <w:r>
              <w:rPr>
                <w:rFonts w:hint="eastAsia" w:eastAsia="仿宋_GB2312"/>
                <w:szCs w:val="21"/>
              </w:rPr>
              <w:t>文字描述</w:t>
            </w:r>
          </w:p>
        </w:tc>
        <w:tc>
          <w:tcPr>
            <w:tcW w:w="855" w:type="dxa"/>
            <w:noWrap/>
            <w:vAlign w:val="center"/>
          </w:tcPr>
          <w:p>
            <w:pPr>
              <w:jc w:val="center"/>
              <w:rPr>
                <w:rFonts w:eastAsia="仿宋_GB2312"/>
                <w:szCs w:val="21"/>
              </w:rPr>
            </w:pPr>
            <w:r>
              <w:rPr>
                <w:rFonts w:hint="eastAsia" w:eastAsia="仿宋_GB2312"/>
                <w:szCs w:val="21"/>
              </w:rPr>
              <w:t>推进</w:t>
            </w:r>
          </w:p>
        </w:tc>
        <w:tc>
          <w:tcPr>
            <w:tcW w:w="840" w:type="dxa"/>
            <w:noWrap/>
            <w:vAlign w:val="center"/>
          </w:tcPr>
          <w:p>
            <w:pPr>
              <w:jc w:val="center"/>
              <w:rPr>
                <w:rFonts w:eastAsia="仿宋_GB2312"/>
                <w:szCs w:val="21"/>
              </w:rPr>
            </w:pPr>
          </w:p>
        </w:tc>
        <w:tc>
          <w:tcPr>
            <w:tcW w:w="2490" w:type="dxa"/>
            <w:noWrap/>
            <w:vAlign w:val="center"/>
          </w:tcPr>
          <w:p>
            <w:pPr>
              <w:jc w:val="center"/>
              <w:rPr>
                <w:rFonts w:eastAsia="仿宋_GB2312"/>
                <w:szCs w:val="21"/>
              </w:rPr>
            </w:pPr>
            <w:r>
              <w:rPr>
                <w:rFonts w:hint="eastAsia" w:eastAsia="仿宋_GB2312"/>
                <w:szCs w:val="21"/>
              </w:rPr>
              <w:t>工作总结</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361" w:hRule="atLeast"/>
        </w:trPr>
        <w:tc>
          <w:tcPr>
            <w:tcW w:w="626" w:type="dxa"/>
            <w:tcBorders>
              <w:top w:val="nil"/>
            </w:tcBorders>
            <w:noWrap/>
          </w:tcPr>
          <w:p>
            <w:pPr>
              <w:rPr>
                <w:rFonts w:eastAsia="仿宋_GB2312"/>
                <w:szCs w:val="21"/>
              </w:rPr>
            </w:pPr>
          </w:p>
        </w:tc>
        <w:tc>
          <w:tcPr>
            <w:tcW w:w="729" w:type="dxa"/>
            <w:tcBorders>
              <w:top w:val="nil"/>
            </w:tcBorders>
            <w:noWrap/>
          </w:tcPr>
          <w:p>
            <w:pPr>
              <w:rPr>
                <w:rFonts w:eastAsia="仿宋_GB2312"/>
                <w:szCs w:val="21"/>
              </w:rPr>
            </w:pPr>
          </w:p>
        </w:tc>
        <w:tc>
          <w:tcPr>
            <w:tcW w:w="1197" w:type="dxa"/>
            <w:noWrap/>
            <w:vAlign w:val="center"/>
          </w:tcPr>
          <w:p>
            <w:pPr>
              <w:rPr>
                <w:rFonts w:eastAsia="仿宋_GB2312"/>
                <w:szCs w:val="21"/>
              </w:rPr>
            </w:pPr>
            <w:r>
              <w:rPr>
                <w:rFonts w:hint="eastAsia" w:eastAsia="仿宋_GB2312"/>
                <w:szCs w:val="21"/>
              </w:rPr>
              <w:t>紧急救助社会达标率</w:t>
            </w:r>
          </w:p>
        </w:tc>
        <w:tc>
          <w:tcPr>
            <w:tcW w:w="1885" w:type="dxa"/>
            <w:noWrap/>
            <w:vAlign w:val="center"/>
          </w:tcPr>
          <w:p>
            <w:pPr>
              <w:rPr>
                <w:rFonts w:eastAsia="仿宋_GB2312"/>
                <w:szCs w:val="21"/>
              </w:rPr>
            </w:pPr>
            <w:r>
              <w:rPr>
                <w:rFonts w:hint="eastAsia" w:eastAsia="仿宋_GB2312"/>
                <w:szCs w:val="21"/>
              </w:rPr>
              <w:t>符合指标值得满分，不符合不得分</w:t>
            </w:r>
          </w:p>
        </w:tc>
        <w:tc>
          <w:tcPr>
            <w:tcW w:w="4201" w:type="dxa"/>
            <w:noWrap/>
            <w:vAlign w:val="center"/>
          </w:tcPr>
          <w:p>
            <w:pPr>
              <w:rPr>
                <w:rFonts w:eastAsia="仿宋_GB2312"/>
                <w:szCs w:val="21"/>
              </w:rPr>
            </w:pPr>
            <w:r>
              <w:rPr>
                <w:rFonts w:hint="eastAsia" w:eastAsia="仿宋_GB2312"/>
                <w:szCs w:val="21"/>
              </w:rPr>
              <w:t>救灾物资下拨及时、物资质量、数量达标。</w:t>
            </w:r>
          </w:p>
        </w:tc>
        <w:tc>
          <w:tcPr>
            <w:tcW w:w="1035" w:type="dxa"/>
            <w:noWrap/>
            <w:vAlign w:val="center"/>
          </w:tcPr>
          <w:p>
            <w:pPr>
              <w:jc w:val="center"/>
              <w:rPr>
                <w:rFonts w:eastAsia="仿宋_GB2312"/>
                <w:szCs w:val="21"/>
              </w:rPr>
            </w:pPr>
            <w:r>
              <w:rPr>
                <w:rFonts w:hint="eastAsia" w:eastAsia="仿宋_GB2312"/>
                <w:szCs w:val="21"/>
              </w:rPr>
              <w:t>≥</w:t>
            </w:r>
          </w:p>
        </w:tc>
        <w:tc>
          <w:tcPr>
            <w:tcW w:w="855" w:type="dxa"/>
            <w:noWrap/>
            <w:vAlign w:val="center"/>
          </w:tcPr>
          <w:p>
            <w:pPr>
              <w:jc w:val="center"/>
              <w:rPr>
                <w:rFonts w:eastAsia="仿宋_GB2312"/>
                <w:szCs w:val="21"/>
              </w:rPr>
            </w:pPr>
            <w:r>
              <w:rPr>
                <w:rFonts w:hint="eastAsia" w:eastAsia="仿宋_GB2312"/>
                <w:szCs w:val="21"/>
              </w:rPr>
              <w:t>95</w:t>
            </w:r>
          </w:p>
        </w:tc>
        <w:tc>
          <w:tcPr>
            <w:tcW w:w="840" w:type="dxa"/>
            <w:noWrap/>
            <w:vAlign w:val="center"/>
          </w:tcPr>
          <w:p>
            <w:pPr>
              <w:jc w:val="center"/>
              <w:rPr>
                <w:rFonts w:eastAsia="仿宋_GB2312"/>
                <w:szCs w:val="21"/>
              </w:rPr>
            </w:pPr>
            <w:r>
              <w:rPr>
                <w:rFonts w:hint="eastAsia" w:eastAsia="仿宋_GB2312"/>
                <w:szCs w:val="21"/>
              </w:rPr>
              <w:t>%</w:t>
            </w:r>
          </w:p>
        </w:tc>
        <w:tc>
          <w:tcPr>
            <w:tcW w:w="2490" w:type="dxa"/>
            <w:noWrap/>
            <w:vAlign w:val="center"/>
          </w:tcPr>
          <w:p>
            <w:pPr>
              <w:jc w:val="center"/>
              <w:rPr>
                <w:rFonts w:eastAsia="仿宋_GB2312"/>
                <w:szCs w:val="21"/>
              </w:rPr>
            </w:pPr>
            <w:r>
              <w:rPr>
                <w:rFonts w:hint="eastAsia" w:eastAsia="仿宋_GB2312"/>
                <w:szCs w:val="21"/>
              </w:rPr>
              <w:t>《廊坊市自然灾害救助应急预案》</w:t>
            </w:r>
          </w:p>
        </w:tc>
      </w:tr>
    </w:tbl>
    <w:p>
      <w:pPr>
        <w:jc w:val="left"/>
        <w:rPr>
          <w:rFonts w:ascii="Arial" w:hAnsi="Arial" w:eastAsia="Arial" w:cs="Arial"/>
          <w:szCs w:val="21"/>
        </w:rPr>
      </w:pPr>
    </w:p>
    <w:p>
      <w:pPr>
        <w:jc w:val="left"/>
        <w:sectPr>
          <w:footerReference r:id="rId4" w:type="default"/>
          <w:pgSz w:w="16840" w:h="11907" w:orient="landscape"/>
          <w:pgMar w:top="1415" w:right="1431" w:bottom="1416" w:left="1302" w:header="0" w:footer="1156" w:gutter="0"/>
          <w:cols w:space="720" w:num="1"/>
        </w:sectPr>
      </w:pPr>
    </w:p>
    <w:p>
      <w:pPr>
        <w:jc w:val="left"/>
      </w:pPr>
    </w:p>
    <w:p>
      <w:pPr>
        <w:jc w:val="left"/>
      </w:pPr>
    </w:p>
    <w:p>
      <w:pPr>
        <w:spacing w:line="69" w:lineRule="exact"/>
        <w:jc w:val="left"/>
      </w:pPr>
    </w:p>
    <w:tbl>
      <w:tblPr>
        <w:tblStyle w:val="38"/>
        <w:tblW w:w="13960" w:type="dxa"/>
        <w:tblInd w:w="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26"/>
        <w:gridCol w:w="729"/>
        <w:gridCol w:w="1149"/>
        <w:gridCol w:w="3416"/>
        <w:gridCol w:w="3375"/>
        <w:gridCol w:w="780"/>
        <w:gridCol w:w="1005"/>
        <w:gridCol w:w="1020"/>
        <w:gridCol w:w="186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42" w:hRule="atLeast"/>
        </w:trPr>
        <w:tc>
          <w:tcPr>
            <w:tcW w:w="626" w:type="dxa"/>
            <w:vMerge w:val="restart"/>
            <w:tcBorders>
              <w:bottom w:val="nil"/>
            </w:tcBorders>
            <w:noWrap/>
            <w:vAlign w:val="center"/>
          </w:tcPr>
          <w:p>
            <w:pPr>
              <w:jc w:val="center"/>
              <w:rPr>
                <w:rFonts w:eastAsia="仿宋_GB2312"/>
                <w:szCs w:val="21"/>
              </w:rPr>
            </w:pPr>
            <w:r>
              <w:rPr>
                <w:rFonts w:eastAsia="仿宋_GB2312"/>
                <w:szCs w:val="21"/>
              </w:rPr>
              <w:t>一级 指标</w:t>
            </w:r>
          </w:p>
        </w:tc>
        <w:tc>
          <w:tcPr>
            <w:tcW w:w="729" w:type="dxa"/>
            <w:vMerge w:val="restart"/>
            <w:tcBorders>
              <w:bottom w:val="nil"/>
            </w:tcBorders>
            <w:noWrap/>
            <w:vAlign w:val="center"/>
          </w:tcPr>
          <w:p>
            <w:pPr>
              <w:jc w:val="center"/>
              <w:rPr>
                <w:rFonts w:eastAsia="仿宋_GB2312"/>
                <w:szCs w:val="21"/>
              </w:rPr>
            </w:pPr>
            <w:r>
              <w:rPr>
                <w:rFonts w:eastAsia="仿宋_GB2312"/>
                <w:szCs w:val="21"/>
              </w:rPr>
              <w:t>二级</w:t>
            </w:r>
          </w:p>
          <w:p>
            <w:pPr>
              <w:jc w:val="center"/>
              <w:rPr>
                <w:rFonts w:eastAsia="仿宋_GB2312"/>
                <w:szCs w:val="21"/>
              </w:rPr>
            </w:pPr>
            <w:r>
              <w:rPr>
                <w:rFonts w:eastAsia="仿宋_GB2312"/>
                <w:szCs w:val="21"/>
              </w:rPr>
              <w:t>指标</w:t>
            </w:r>
          </w:p>
        </w:tc>
        <w:tc>
          <w:tcPr>
            <w:tcW w:w="1149" w:type="dxa"/>
            <w:vMerge w:val="restart"/>
            <w:tcBorders>
              <w:bottom w:val="nil"/>
            </w:tcBorders>
            <w:noWrap/>
            <w:vAlign w:val="center"/>
          </w:tcPr>
          <w:p>
            <w:pPr>
              <w:jc w:val="center"/>
              <w:rPr>
                <w:rFonts w:eastAsia="仿宋_GB2312"/>
                <w:szCs w:val="21"/>
              </w:rPr>
            </w:pPr>
            <w:r>
              <w:rPr>
                <w:rFonts w:eastAsia="仿宋_GB2312"/>
                <w:szCs w:val="21"/>
              </w:rPr>
              <w:t>三级</w:t>
            </w:r>
          </w:p>
          <w:p>
            <w:pPr>
              <w:jc w:val="center"/>
              <w:rPr>
                <w:rFonts w:eastAsia="仿宋_GB2312"/>
                <w:szCs w:val="21"/>
              </w:rPr>
            </w:pPr>
            <w:r>
              <w:rPr>
                <w:rFonts w:eastAsia="仿宋_GB2312"/>
                <w:szCs w:val="21"/>
              </w:rPr>
              <w:t>指标</w:t>
            </w:r>
          </w:p>
        </w:tc>
        <w:tc>
          <w:tcPr>
            <w:tcW w:w="3416" w:type="dxa"/>
            <w:vMerge w:val="restart"/>
            <w:tcBorders>
              <w:bottom w:val="nil"/>
            </w:tcBorders>
            <w:noWrap/>
            <w:vAlign w:val="center"/>
          </w:tcPr>
          <w:p>
            <w:pPr>
              <w:jc w:val="center"/>
              <w:rPr>
                <w:rFonts w:eastAsia="仿宋_GB2312"/>
                <w:szCs w:val="21"/>
              </w:rPr>
            </w:pPr>
            <w:r>
              <w:rPr>
                <w:rFonts w:eastAsia="仿宋_GB2312"/>
                <w:szCs w:val="21"/>
              </w:rPr>
              <w:t>评 （扣）分标准</w:t>
            </w:r>
          </w:p>
        </w:tc>
        <w:tc>
          <w:tcPr>
            <w:tcW w:w="3375" w:type="dxa"/>
            <w:vMerge w:val="restart"/>
            <w:tcBorders>
              <w:bottom w:val="nil"/>
            </w:tcBorders>
            <w:noWrap/>
            <w:vAlign w:val="center"/>
          </w:tcPr>
          <w:p>
            <w:pPr>
              <w:jc w:val="center"/>
              <w:rPr>
                <w:rFonts w:eastAsia="仿宋_GB2312"/>
                <w:szCs w:val="21"/>
              </w:rPr>
            </w:pPr>
            <w:r>
              <w:rPr>
                <w:rFonts w:eastAsia="仿宋_GB2312"/>
                <w:szCs w:val="21"/>
              </w:rPr>
              <w:t>绩效指标</w:t>
            </w:r>
          </w:p>
          <w:p>
            <w:pPr>
              <w:jc w:val="center"/>
              <w:rPr>
                <w:rFonts w:eastAsia="仿宋_GB2312"/>
                <w:szCs w:val="21"/>
              </w:rPr>
            </w:pPr>
            <w:r>
              <w:rPr>
                <w:rFonts w:eastAsia="仿宋_GB2312"/>
                <w:szCs w:val="21"/>
              </w:rPr>
              <w:t>描述</w:t>
            </w:r>
          </w:p>
        </w:tc>
        <w:tc>
          <w:tcPr>
            <w:tcW w:w="2805" w:type="dxa"/>
            <w:gridSpan w:val="3"/>
            <w:noWrap/>
            <w:vAlign w:val="center"/>
          </w:tcPr>
          <w:p>
            <w:pPr>
              <w:jc w:val="center"/>
              <w:rPr>
                <w:rFonts w:eastAsia="仿宋_GB2312"/>
                <w:szCs w:val="21"/>
              </w:rPr>
            </w:pPr>
            <w:r>
              <w:rPr>
                <w:rFonts w:eastAsia="仿宋_GB2312"/>
                <w:szCs w:val="21"/>
              </w:rPr>
              <w:t>指标值</w:t>
            </w:r>
          </w:p>
        </w:tc>
        <w:tc>
          <w:tcPr>
            <w:tcW w:w="1860" w:type="dxa"/>
            <w:vMerge w:val="restart"/>
            <w:tcBorders>
              <w:bottom w:val="nil"/>
            </w:tcBorders>
            <w:noWrap/>
            <w:vAlign w:val="center"/>
          </w:tcPr>
          <w:p>
            <w:pPr>
              <w:jc w:val="center"/>
              <w:rPr>
                <w:rFonts w:eastAsia="仿宋_GB2312"/>
                <w:szCs w:val="21"/>
              </w:rPr>
            </w:pPr>
            <w:r>
              <w:rPr>
                <w:rFonts w:eastAsia="仿宋_GB2312"/>
                <w:szCs w:val="21"/>
              </w:rPr>
              <w:t>指标值</w:t>
            </w:r>
          </w:p>
          <w:p>
            <w:pPr>
              <w:jc w:val="center"/>
              <w:rPr>
                <w:rFonts w:eastAsia="仿宋_GB2312"/>
                <w:szCs w:val="21"/>
              </w:rPr>
            </w:pPr>
            <w:r>
              <w:rPr>
                <w:rFonts w:eastAsia="仿宋_GB2312"/>
                <w:szCs w:val="21"/>
              </w:rPr>
              <w:t>确定依据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42" w:hRule="atLeast"/>
        </w:trPr>
        <w:tc>
          <w:tcPr>
            <w:tcW w:w="626" w:type="dxa"/>
            <w:vMerge w:val="continue"/>
            <w:tcBorders>
              <w:top w:val="nil"/>
            </w:tcBorders>
            <w:noWrap/>
            <w:vAlign w:val="center"/>
          </w:tcPr>
          <w:p>
            <w:pPr>
              <w:jc w:val="center"/>
              <w:rPr>
                <w:rFonts w:eastAsia="仿宋_GB2312"/>
                <w:szCs w:val="21"/>
              </w:rPr>
            </w:pPr>
          </w:p>
        </w:tc>
        <w:tc>
          <w:tcPr>
            <w:tcW w:w="729" w:type="dxa"/>
            <w:vMerge w:val="continue"/>
            <w:tcBorders>
              <w:top w:val="nil"/>
            </w:tcBorders>
            <w:noWrap/>
            <w:vAlign w:val="center"/>
          </w:tcPr>
          <w:p>
            <w:pPr>
              <w:jc w:val="center"/>
              <w:rPr>
                <w:rFonts w:eastAsia="仿宋_GB2312"/>
                <w:szCs w:val="21"/>
              </w:rPr>
            </w:pPr>
          </w:p>
        </w:tc>
        <w:tc>
          <w:tcPr>
            <w:tcW w:w="1149" w:type="dxa"/>
            <w:vMerge w:val="continue"/>
            <w:tcBorders>
              <w:top w:val="nil"/>
            </w:tcBorders>
            <w:noWrap/>
            <w:vAlign w:val="center"/>
          </w:tcPr>
          <w:p>
            <w:pPr>
              <w:jc w:val="center"/>
              <w:rPr>
                <w:rFonts w:eastAsia="仿宋_GB2312"/>
                <w:szCs w:val="21"/>
              </w:rPr>
            </w:pPr>
          </w:p>
        </w:tc>
        <w:tc>
          <w:tcPr>
            <w:tcW w:w="3416" w:type="dxa"/>
            <w:vMerge w:val="continue"/>
            <w:tcBorders>
              <w:top w:val="nil"/>
            </w:tcBorders>
            <w:noWrap/>
            <w:vAlign w:val="center"/>
          </w:tcPr>
          <w:p>
            <w:pPr>
              <w:jc w:val="center"/>
              <w:rPr>
                <w:rFonts w:eastAsia="仿宋_GB2312"/>
                <w:szCs w:val="21"/>
              </w:rPr>
            </w:pPr>
          </w:p>
        </w:tc>
        <w:tc>
          <w:tcPr>
            <w:tcW w:w="3375" w:type="dxa"/>
            <w:vMerge w:val="continue"/>
            <w:tcBorders>
              <w:top w:val="nil"/>
            </w:tcBorders>
            <w:noWrap/>
            <w:vAlign w:val="center"/>
          </w:tcPr>
          <w:p>
            <w:pPr>
              <w:jc w:val="center"/>
              <w:rPr>
                <w:rFonts w:eastAsia="仿宋_GB2312"/>
                <w:szCs w:val="21"/>
              </w:rPr>
            </w:pPr>
          </w:p>
        </w:tc>
        <w:tc>
          <w:tcPr>
            <w:tcW w:w="780" w:type="dxa"/>
            <w:noWrap/>
            <w:vAlign w:val="center"/>
          </w:tcPr>
          <w:p>
            <w:pPr>
              <w:jc w:val="center"/>
              <w:rPr>
                <w:rFonts w:eastAsia="仿宋_GB2312"/>
                <w:szCs w:val="21"/>
              </w:rPr>
            </w:pPr>
            <w:r>
              <w:rPr>
                <w:rFonts w:eastAsia="仿宋_GB2312"/>
                <w:szCs w:val="21"/>
              </w:rPr>
              <w:t>符号</w:t>
            </w:r>
          </w:p>
        </w:tc>
        <w:tc>
          <w:tcPr>
            <w:tcW w:w="1005" w:type="dxa"/>
            <w:noWrap/>
            <w:vAlign w:val="center"/>
          </w:tcPr>
          <w:p>
            <w:pPr>
              <w:jc w:val="center"/>
              <w:rPr>
                <w:rFonts w:eastAsia="仿宋_GB2312"/>
                <w:szCs w:val="21"/>
              </w:rPr>
            </w:pPr>
            <w:r>
              <w:rPr>
                <w:rFonts w:eastAsia="仿宋_GB2312"/>
                <w:szCs w:val="21"/>
              </w:rPr>
              <w:t>值</w:t>
            </w:r>
          </w:p>
        </w:tc>
        <w:tc>
          <w:tcPr>
            <w:tcW w:w="1020" w:type="dxa"/>
            <w:noWrap/>
            <w:vAlign w:val="center"/>
          </w:tcPr>
          <w:p>
            <w:pPr>
              <w:jc w:val="center"/>
              <w:rPr>
                <w:rFonts w:eastAsia="仿宋_GB2312"/>
                <w:szCs w:val="21"/>
              </w:rPr>
            </w:pPr>
            <w:r>
              <w:rPr>
                <w:rFonts w:eastAsia="仿宋_GB2312"/>
                <w:szCs w:val="21"/>
              </w:rPr>
              <w:t>单位</w:t>
            </w:r>
          </w:p>
        </w:tc>
        <w:tc>
          <w:tcPr>
            <w:tcW w:w="1860" w:type="dxa"/>
            <w:vMerge w:val="continue"/>
            <w:tcBorders>
              <w:top w:val="nil"/>
            </w:tcBorders>
            <w:noWrap/>
            <w:vAlign w:val="center"/>
          </w:tcPr>
          <w:p>
            <w:pPr>
              <w:jc w:val="center"/>
              <w:rPr>
                <w:rFonts w:eastAsia="仿宋_GB2312"/>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553" w:hRule="atLeast"/>
        </w:trPr>
        <w:tc>
          <w:tcPr>
            <w:tcW w:w="626" w:type="dxa"/>
            <w:vMerge w:val="restart"/>
            <w:tcBorders>
              <w:top w:val="nil"/>
            </w:tcBorders>
            <w:noWrap/>
            <w:vAlign w:val="center"/>
          </w:tcPr>
          <w:p>
            <w:pPr>
              <w:jc w:val="center"/>
              <w:rPr>
                <w:rFonts w:eastAsia="仿宋_GB2312"/>
                <w:szCs w:val="21"/>
              </w:rPr>
            </w:pPr>
          </w:p>
          <w:p>
            <w:pPr>
              <w:jc w:val="center"/>
              <w:rPr>
                <w:rFonts w:eastAsia="仿宋_GB2312"/>
                <w:szCs w:val="21"/>
              </w:rPr>
            </w:pPr>
            <w:r>
              <w:rPr>
                <w:rFonts w:eastAsia="仿宋_GB2312"/>
                <w:szCs w:val="21"/>
              </w:rPr>
              <w:t>部门 效果</w:t>
            </w:r>
          </w:p>
        </w:tc>
        <w:tc>
          <w:tcPr>
            <w:tcW w:w="729" w:type="dxa"/>
            <w:tcBorders>
              <w:bottom w:val="single" w:color="auto" w:sz="4" w:space="0"/>
            </w:tcBorders>
            <w:noWrap/>
            <w:vAlign w:val="center"/>
          </w:tcPr>
          <w:p>
            <w:pPr>
              <w:jc w:val="center"/>
              <w:rPr>
                <w:rFonts w:eastAsia="仿宋_GB2312"/>
                <w:szCs w:val="21"/>
              </w:rPr>
            </w:pPr>
            <w:r>
              <w:rPr>
                <w:rFonts w:eastAsia="仿宋_GB2312"/>
                <w:szCs w:val="21"/>
              </w:rPr>
              <w:t>社会</w:t>
            </w:r>
          </w:p>
          <w:p>
            <w:pPr>
              <w:jc w:val="center"/>
              <w:rPr>
                <w:rFonts w:eastAsia="仿宋_GB2312"/>
                <w:szCs w:val="21"/>
              </w:rPr>
            </w:pPr>
            <w:r>
              <w:rPr>
                <w:rFonts w:eastAsia="仿宋_GB2312"/>
                <w:szCs w:val="21"/>
              </w:rPr>
              <w:t>效益</w:t>
            </w:r>
          </w:p>
        </w:tc>
        <w:tc>
          <w:tcPr>
            <w:tcW w:w="1149" w:type="dxa"/>
            <w:noWrap/>
            <w:vAlign w:val="center"/>
          </w:tcPr>
          <w:p>
            <w:pPr>
              <w:rPr>
                <w:rFonts w:hint="eastAsia" w:eastAsia="仿宋_GB2312"/>
                <w:szCs w:val="21"/>
                <w:highlight w:val="none"/>
                <w:lang w:val="en-US" w:eastAsia="zh-CN"/>
              </w:rPr>
            </w:pPr>
            <w:r>
              <w:rPr>
                <w:rFonts w:hint="eastAsia" w:eastAsia="仿宋_GB2312"/>
                <w:szCs w:val="21"/>
                <w:highlight w:val="none"/>
              </w:rPr>
              <w:t>保障廊坊市人民政府网安全有效运行</w:t>
            </w:r>
            <w:r>
              <w:rPr>
                <w:rFonts w:hint="eastAsia" w:eastAsia="仿宋_GB2312"/>
                <w:szCs w:val="21"/>
                <w:highlight w:val="none"/>
                <w:lang w:val="en-US" w:eastAsia="zh-CN"/>
              </w:rPr>
              <w:t>天数</w:t>
            </w:r>
          </w:p>
        </w:tc>
        <w:tc>
          <w:tcPr>
            <w:tcW w:w="3416" w:type="dxa"/>
            <w:noWrap/>
            <w:vAlign w:val="center"/>
          </w:tcPr>
          <w:p>
            <w:pPr>
              <w:rPr>
                <w:rFonts w:eastAsia="仿宋_GB2312"/>
                <w:szCs w:val="21"/>
                <w:highlight w:val="none"/>
              </w:rPr>
            </w:pPr>
            <w:r>
              <w:rPr>
                <w:rFonts w:hint="eastAsia" w:eastAsia="仿宋_GB2312"/>
                <w:szCs w:val="21"/>
                <w:highlight w:val="none"/>
              </w:rPr>
              <w:t>符合指标值得满分，不符合不得分</w:t>
            </w:r>
          </w:p>
        </w:tc>
        <w:tc>
          <w:tcPr>
            <w:tcW w:w="3375" w:type="dxa"/>
            <w:noWrap/>
            <w:vAlign w:val="center"/>
          </w:tcPr>
          <w:p>
            <w:pPr>
              <w:rPr>
                <w:rFonts w:hint="eastAsia" w:eastAsia="仿宋_GB2312"/>
                <w:szCs w:val="21"/>
                <w:highlight w:val="none"/>
                <w:lang w:val="en-US" w:eastAsia="zh-CN"/>
              </w:rPr>
            </w:pPr>
            <w:r>
              <w:rPr>
                <w:rFonts w:hint="eastAsia" w:eastAsia="仿宋_GB2312"/>
                <w:szCs w:val="21"/>
                <w:highlight w:val="none"/>
              </w:rPr>
              <w:t>保障廊坊市人民政府网安全有效运行</w:t>
            </w:r>
            <w:r>
              <w:rPr>
                <w:rFonts w:hint="eastAsia" w:eastAsia="仿宋_GB2312"/>
                <w:szCs w:val="21"/>
                <w:highlight w:val="none"/>
                <w:lang w:val="en-US" w:eastAsia="zh-CN"/>
              </w:rPr>
              <w:t>天数</w:t>
            </w:r>
          </w:p>
        </w:tc>
        <w:tc>
          <w:tcPr>
            <w:tcW w:w="780" w:type="dxa"/>
            <w:noWrap/>
            <w:vAlign w:val="center"/>
          </w:tcPr>
          <w:p>
            <w:pPr>
              <w:jc w:val="center"/>
              <w:rPr>
                <w:rFonts w:hint="eastAsia" w:eastAsia="仿宋_GB2312"/>
                <w:szCs w:val="21"/>
                <w:highlight w:val="none"/>
                <w:lang w:eastAsia="zh-CN"/>
              </w:rPr>
            </w:pPr>
            <w:r>
              <w:rPr>
                <w:rFonts w:hint="eastAsia" w:eastAsia="仿宋_GB2312"/>
                <w:szCs w:val="21"/>
                <w:highlight w:val="none"/>
                <w:lang w:val="en-US" w:eastAsia="zh-CN"/>
              </w:rPr>
              <w:t>=</w:t>
            </w:r>
          </w:p>
        </w:tc>
        <w:tc>
          <w:tcPr>
            <w:tcW w:w="1005" w:type="dxa"/>
            <w:noWrap/>
            <w:vAlign w:val="center"/>
          </w:tcPr>
          <w:p>
            <w:pPr>
              <w:jc w:val="center"/>
              <w:rPr>
                <w:rFonts w:eastAsia="仿宋_GB2312"/>
                <w:szCs w:val="21"/>
              </w:rPr>
            </w:pPr>
            <w:r>
              <w:rPr>
                <w:rFonts w:hint="eastAsia" w:eastAsia="仿宋_GB2312"/>
                <w:szCs w:val="21"/>
              </w:rPr>
              <w:t>365</w:t>
            </w:r>
          </w:p>
        </w:tc>
        <w:tc>
          <w:tcPr>
            <w:tcW w:w="1020" w:type="dxa"/>
            <w:noWrap/>
            <w:vAlign w:val="center"/>
          </w:tcPr>
          <w:p>
            <w:pPr>
              <w:jc w:val="center"/>
              <w:rPr>
                <w:rFonts w:eastAsia="仿宋_GB2312"/>
                <w:szCs w:val="21"/>
              </w:rPr>
            </w:pPr>
            <w:r>
              <w:rPr>
                <w:rFonts w:hint="eastAsia" w:eastAsia="仿宋_GB2312"/>
                <w:szCs w:val="21"/>
              </w:rPr>
              <w:t>天</w:t>
            </w:r>
          </w:p>
        </w:tc>
        <w:tc>
          <w:tcPr>
            <w:tcW w:w="1860" w:type="dxa"/>
            <w:noWrap/>
            <w:vAlign w:val="center"/>
          </w:tcPr>
          <w:p>
            <w:pPr>
              <w:jc w:val="center"/>
              <w:rPr>
                <w:rFonts w:eastAsia="仿宋_GB2312"/>
                <w:szCs w:val="21"/>
              </w:rPr>
            </w:pPr>
            <w:r>
              <w:rPr>
                <w:rFonts w:hint="eastAsia" w:eastAsia="仿宋_GB2312"/>
                <w:szCs w:val="21"/>
              </w:rPr>
              <w:t>工作总结</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518" w:hRule="atLeast"/>
        </w:trPr>
        <w:tc>
          <w:tcPr>
            <w:tcW w:w="626" w:type="dxa"/>
            <w:vMerge w:val="continue"/>
            <w:noWrap/>
            <w:vAlign w:val="center"/>
          </w:tcPr>
          <w:p>
            <w:pPr>
              <w:jc w:val="center"/>
              <w:rPr>
                <w:rFonts w:eastAsia="仿宋_GB2312"/>
                <w:szCs w:val="21"/>
              </w:rPr>
            </w:pPr>
          </w:p>
        </w:tc>
        <w:tc>
          <w:tcPr>
            <w:tcW w:w="729" w:type="dxa"/>
            <w:tcBorders>
              <w:top w:val="single" w:color="auto" w:sz="4" w:space="0"/>
              <w:bottom w:val="single" w:color="auto" w:sz="4" w:space="0"/>
            </w:tcBorders>
            <w:noWrap/>
            <w:vAlign w:val="center"/>
          </w:tcPr>
          <w:p>
            <w:pPr>
              <w:ind w:firstLine="240" w:firstLineChars="100"/>
              <w:rPr>
                <w:rFonts w:eastAsia="仿宋_GB2312"/>
                <w:szCs w:val="21"/>
              </w:rPr>
            </w:pPr>
            <w:r>
              <w:rPr>
                <w:rFonts w:hint="eastAsia" w:eastAsia="仿宋_GB2312"/>
                <w:szCs w:val="21"/>
              </w:rPr>
              <w:t>经济</w:t>
            </w:r>
          </w:p>
          <w:p>
            <w:pPr>
              <w:jc w:val="center"/>
              <w:rPr>
                <w:rFonts w:eastAsia="仿宋_GB2312"/>
                <w:szCs w:val="21"/>
              </w:rPr>
            </w:pPr>
            <w:r>
              <w:rPr>
                <w:rFonts w:eastAsia="仿宋_GB2312"/>
                <w:szCs w:val="21"/>
              </w:rPr>
              <w:t>效益</w:t>
            </w:r>
          </w:p>
        </w:tc>
        <w:tc>
          <w:tcPr>
            <w:tcW w:w="1149" w:type="dxa"/>
            <w:noWrap/>
            <w:vAlign w:val="center"/>
          </w:tcPr>
          <w:p>
            <w:pPr>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高新技术产业增加值占工业增加值比重（%）</w:t>
            </w:r>
          </w:p>
        </w:tc>
        <w:tc>
          <w:tcPr>
            <w:tcW w:w="3416" w:type="dxa"/>
            <w:noWrap/>
            <w:vAlign w:val="center"/>
          </w:tcPr>
          <w:p>
            <w:pPr>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超过指标得满分，每低于1%扣除权重的10%</w:t>
            </w:r>
          </w:p>
        </w:tc>
        <w:tc>
          <w:tcPr>
            <w:tcW w:w="3375" w:type="dxa"/>
            <w:noWrap/>
            <w:vAlign w:val="center"/>
          </w:tcPr>
          <w:p>
            <w:pPr>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高新技术产业增加值/工业增加值</w:t>
            </w:r>
          </w:p>
        </w:tc>
        <w:tc>
          <w:tcPr>
            <w:tcW w:w="780" w:type="dxa"/>
            <w:noWrap/>
            <w:vAlign w:val="center"/>
          </w:tcPr>
          <w:p>
            <w:pPr>
              <w:jc w:val="center"/>
              <w:rPr>
                <w:rFonts w:hint="eastAsia" w:ascii="Times New Roman" w:hAnsi="Times New Roman" w:eastAsia="仿宋_GB2312" w:cs="Times New Roman"/>
                <w:szCs w:val="21"/>
              </w:rPr>
            </w:pPr>
            <w:r>
              <w:rPr>
                <w:rFonts w:hint="eastAsia" w:ascii="Times New Roman" w:hAnsi="Times New Roman" w:eastAsia="仿宋_GB2312" w:cs="Times New Roman"/>
                <w:szCs w:val="21"/>
              </w:rPr>
              <w:t>≥</w:t>
            </w:r>
          </w:p>
        </w:tc>
        <w:tc>
          <w:tcPr>
            <w:tcW w:w="1005" w:type="dxa"/>
            <w:noWrap/>
            <w:vAlign w:val="center"/>
          </w:tcPr>
          <w:p>
            <w:pPr>
              <w:jc w:val="center"/>
              <w:rPr>
                <w:rFonts w:hint="eastAsia" w:ascii="Times New Roman" w:hAnsi="Times New Roman" w:eastAsia="仿宋_GB2312" w:cs="Times New Roman"/>
                <w:szCs w:val="21"/>
              </w:rPr>
            </w:pPr>
            <w:r>
              <w:rPr>
                <w:rFonts w:hint="eastAsia" w:ascii="Times New Roman" w:hAnsi="Times New Roman" w:eastAsia="仿宋_GB2312" w:cs="Times New Roman"/>
                <w:szCs w:val="21"/>
              </w:rPr>
              <w:t>35</w:t>
            </w:r>
          </w:p>
        </w:tc>
        <w:tc>
          <w:tcPr>
            <w:tcW w:w="1020" w:type="dxa"/>
            <w:noWrap/>
            <w:vAlign w:val="center"/>
          </w:tcPr>
          <w:p>
            <w:pPr>
              <w:jc w:val="center"/>
              <w:rPr>
                <w:rFonts w:hint="eastAsia" w:ascii="Times New Roman" w:hAnsi="Times New Roman" w:eastAsia="仿宋_GB2312" w:cs="Times New Roman"/>
                <w:szCs w:val="21"/>
              </w:rPr>
            </w:pPr>
            <w:r>
              <w:rPr>
                <w:rFonts w:hint="eastAsia" w:ascii="Times New Roman" w:hAnsi="Times New Roman" w:eastAsia="仿宋_GB2312" w:cs="Times New Roman"/>
                <w:szCs w:val="21"/>
                <w:lang w:eastAsia="en-US"/>
              </w:rPr>
              <w:t>%</w:t>
            </w:r>
          </w:p>
        </w:tc>
        <w:tc>
          <w:tcPr>
            <w:tcW w:w="1860" w:type="dxa"/>
            <w:noWrap/>
            <w:vAlign w:val="center"/>
          </w:tcPr>
          <w:p>
            <w:pPr>
              <w:widowControl/>
              <w:jc w:val="center"/>
              <w:textAlignment w:val="center"/>
              <w:rPr>
                <w:rFonts w:eastAsia="仿宋_GB2312"/>
                <w:sz w:val="18"/>
                <w:szCs w:val="18"/>
              </w:rPr>
            </w:pPr>
            <w:r>
              <w:rPr>
                <w:rFonts w:hint="eastAsia" w:ascii="Times New Roman" w:hAnsi="Times New Roman" w:eastAsia="仿宋_GB2312" w:cs="Times New Roman"/>
                <w:szCs w:val="21"/>
                <w:highlight w:val="none"/>
              </w:rPr>
              <w:t>统计局公布指标数据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508" w:hRule="atLeast"/>
        </w:trPr>
        <w:tc>
          <w:tcPr>
            <w:tcW w:w="626" w:type="dxa"/>
            <w:vMerge w:val="continue"/>
            <w:noWrap/>
            <w:vAlign w:val="center"/>
          </w:tcPr>
          <w:p>
            <w:pPr>
              <w:jc w:val="center"/>
              <w:rPr>
                <w:rFonts w:eastAsia="仿宋_GB2312"/>
                <w:szCs w:val="21"/>
              </w:rPr>
            </w:pPr>
          </w:p>
        </w:tc>
        <w:tc>
          <w:tcPr>
            <w:tcW w:w="729" w:type="dxa"/>
            <w:noWrap/>
            <w:vAlign w:val="center"/>
          </w:tcPr>
          <w:p>
            <w:pPr>
              <w:jc w:val="center"/>
              <w:rPr>
                <w:rFonts w:eastAsia="仿宋_GB2312"/>
                <w:szCs w:val="21"/>
              </w:rPr>
            </w:pPr>
          </w:p>
          <w:p>
            <w:pPr>
              <w:jc w:val="center"/>
              <w:rPr>
                <w:rFonts w:eastAsia="仿宋_GB2312"/>
                <w:szCs w:val="21"/>
              </w:rPr>
            </w:pPr>
            <w:r>
              <w:rPr>
                <w:rFonts w:eastAsia="仿宋_GB2312"/>
                <w:szCs w:val="21"/>
              </w:rPr>
              <w:t>满意度</w:t>
            </w:r>
          </w:p>
        </w:tc>
        <w:tc>
          <w:tcPr>
            <w:tcW w:w="1149" w:type="dxa"/>
            <w:noWrap/>
            <w:vAlign w:val="center"/>
          </w:tcPr>
          <w:p>
            <w:pPr>
              <w:jc w:val="center"/>
              <w:rPr>
                <w:rFonts w:eastAsia="仿宋_GB2312"/>
                <w:szCs w:val="21"/>
              </w:rPr>
            </w:pPr>
            <w:r>
              <w:rPr>
                <w:rFonts w:eastAsia="仿宋_GB2312"/>
                <w:szCs w:val="21"/>
              </w:rPr>
              <w:t>受益群体满 意度</w:t>
            </w:r>
          </w:p>
        </w:tc>
        <w:tc>
          <w:tcPr>
            <w:tcW w:w="3416" w:type="dxa"/>
            <w:noWrap/>
            <w:vAlign w:val="center"/>
          </w:tcPr>
          <w:p>
            <w:pPr>
              <w:jc w:val="left"/>
              <w:rPr>
                <w:rFonts w:eastAsia="仿宋_GB2312"/>
                <w:szCs w:val="21"/>
              </w:rPr>
            </w:pPr>
            <w:r>
              <w:rPr>
                <w:rFonts w:hint="eastAsia" w:eastAsia="仿宋_GB2312"/>
                <w:szCs w:val="21"/>
              </w:rPr>
              <w:t>符合指标值得满分，</w:t>
            </w:r>
            <w:r>
              <w:rPr>
                <w:rFonts w:eastAsia="仿宋_GB2312"/>
                <w:szCs w:val="21"/>
              </w:rPr>
              <w:t>每降低1</w:t>
            </w:r>
            <w:r>
              <w:rPr>
                <w:rFonts w:hint="eastAsia" w:eastAsia="仿宋_GB2312"/>
                <w:szCs w:val="21"/>
              </w:rPr>
              <w:t>0</w:t>
            </w:r>
            <w:r>
              <w:rPr>
                <w:rFonts w:eastAsia="仿宋_GB2312"/>
                <w:szCs w:val="21"/>
              </w:rPr>
              <w:t>% ，扣除权重分的10%</w:t>
            </w:r>
            <w:r>
              <w:rPr>
                <w:rFonts w:hint="eastAsia" w:eastAsia="仿宋_GB2312"/>
                <w:szCs w:val="21"/>
              </w:rPr>
              <w:t>，60%以下不得分</w:t>
            </w:r>
          </w:p>
        </w:tc>
        <w:tc>
          <w:tcPr>
            <w:tcW w:w="3375" w:type="dxa"/>
            <w:noWrap/>
            <w:vAlign w:val="center"/>
          </w:tcPr>
          <w:p>
            <w:pPr>
              <w:jc w:val="center"/>
              <w:rPr>
                <w:rFonts w:eastAsia="仿宋_GB2312"/>
                <w:szCs w:val="21"/>
              </w:rPr>
            </w:pPr>
            <w:r>
              <w:rPr>
                <w:rFonts w:eastAsia="仿宋_GB2312"/>
                <w:szCs w:val="21"/>
              </w:rPr>
              <w:t>相关受益群体满 意度</w:t>
            </w:r>
          </w:p>
        </w:tc>
        <w:tc>
          <w:tcPr>
            <w:tcW w:w="780" w:type="dxa"/>
            <w:noWrap/>
            <w:vAlign w:val="center"/>
          </w:tcPr>
          <w:p>
            <w:pPr>
              <w:jc w:val="center"/>
              <w:rPr>
                <w:rFonts w:eastAsia="仿宋_GB2312"/>
                <w:szCs w:val="21"/>
              </w:rPr>
            </w:pPr>
          </w:p>
          <w:p>
            <w:pPr>
              <w:jc w:val="center"/>
              <w:rPr>
                <w:rFonts w:eastAsia="仿宋_GB2312"/>
                <w:szCs w:val="21"/>
              </w:rPr>
            </w:pPr>
            <w:r>
              <w:rPr>
                <w:rFonts w:eastAsia="仿宋_GB2312"/>
                <w:szCs w:val="21"/>
              </w:rPr>
              <w:t>≥</w:t>
            </w:r>
          </w:p>
        </w:tc>
        <w:tc>
          <w:tcPr>
            <w:tcW w:w="1005" w:type="dxa"/>
            <w:noWrap/>
            <w:vAlign w:val="center"/>
          </w:tcPr>
          <w:p>
            <w:pPr>
              <w:jc w:val="center"/>
              <w:rPr>
                <w:rFonts w:eastAsia="仿宋_GB2312"/>
                <w:szCs w:val="21"/>
              </w:rPr>
            </w:pPr>
          </w:p>
          <w:p>
            <w:pPr>
              <w:jc w:val="center"/>
              <w:rPr>
                <w:rFonts w:eastAsia="仿宋_GB2312"/>
                <w:szCs w:val="21"/>
              </w:rPr>
            </w:pPr>
            <w:r>
              <w:rPr>
                <w:rFonts w:eastAsia="仿宋_GB2312"/>
                <w:szCs w:val="21"/>
              </w:rPr>
              <w:t>90</w:t>
            </w:r>
          </w:p>
        </w:tc>
        <w:tc>
          <w:tcPr>
            <w:tcW w:w="1020" w:type="dxa"/>
            <w:noWrap/>
            <w:vAlign w:val="center"/>
          </w:tcPr>
          <w:p>
            <w:pPr>
              <w:jc w:val="center"/>
              <w:rPr>
                <w:rFonts w:eastAsia="仿宋_GB2312"/>
                <w:szCs w:val="21"/>
              </w:rPr>
            </w:pPr>
          </w:p>
          <w:p>
            <w:pPr>
              <w:jc w:val="center"/>
              <w:rPr>
                <w:rFonts w:eastAsia="仿宋_GB2312"/>
                <w:szCs w:val="21"/>
              </w:rPr>
            </w:pPr>
            <w:r>
              <w:rPr>
                <w:rFonts w:eastAsia="仿宋_GB2312"/>
                <w:szCs w:val="21"/>
              </w:rPr>
              <w:t>%</w:t>
            </w:r>
          </w:p>
        </w:tc>
        <w:tc>
          <w:tcPr>
            <w:tcW w:w="1860" w:type="dxa"/>
            <w:noWrap/>
            <w:vAlign w:val="center"/>
          </w:tcPr>
          <w:p>
            <w:pPr>
              <w:jc w:val="center"/>
              <w:rPr>
                <w:rFonts w:eastAsia="仿宋_GB2312"/>
                <w:szCs w:val="21"/>
              </w:rPr>
            </w:pPr>
          </w:p>
          <w:p>
            <w:pPr>
              <w:jc w:val="center"/>
              <w:rPr>
                <w:rFonts w:eastAsia="仿宋_GB2312"/>
                <w:szCs w:val="21"/>
              </w:rPr>
            </w:pPr>
            <w:r>
              <w:rPr>
                <w:rFonts w:eastAsia="仿宋_GB2312"/>
                <w:szCs w:val="21"/>
              </w:rPr>
              <w:t>问卷调查</w:t>
            </w:r>
          </w:p>
        </w:tc>
      </w:tr>
    </w:tbl>
    <w:p>
      <w:pPr>
        <w:numPr>
          <w:ilvl w:val="0"/>
          <w:numId w:val="0"/>
        </w:numPr>
        <w:rPr>
          <w:rFonts w:hint="eastAsia" w:ascii="楷体_GB2312" w:eastAsia="楷体_GB2312" w:cs="Times New Roman"/>
          <w:b/>
          <w:sz w:val="32"/>
          <w:szCs w:val="32"/>
        </w:rPr>
        <w:sectPr>
          <w:footerReference r:id="rId5" w:type="default"/>
          <w:footerReference r:id="rId6" w:type="even"/>
          <w:pgSz w:w="16840" w:h="11900" w:orient="landscape"/>
          <w:pgMar w:top="1361" w:right="1020" w:bottom="1134" w:left="1020" w:header="720" w:footer="720" w:gutter="0"/>
          <w:cols w:space="720" w:num="1"/>
        </w:sectPr>
      </w:pPr>
    </w:p>
    <w:p>
      <w:pPr>
        <w:spacing w:line="584" w:lineRule="exact"/>
        <w:ind w:firstLine="640" w:firstLineChars="200"/>
        <w:rPr>
          <w:rFonts w:ascii="Times New Roman" w:hAnsi="黑体" w:eastAsia="黑体" w:cs="Times New Roman"/>
          <w:sz w:val="32"/>
          <w:szCs w:val="32"/>
        </w:rPr>
      </w:pPr>
      <w:r>
        <w:rPr>
          <w:rFonts w:hint="eastAsia" w:ascii="Times New Roman" w:hAnsi="黑体" w:eastAsia="黑体" w:cs="Times New Roman"/>
          <w:sz w:val="32"/>
          <w:szCs w:val="32"/>
        </w:rPr>
        <w:t>第二部分</w:t>
      </w:r>
      <w:r>
        <w:rPr>
          <w:rFonts w:hint="eastAsia" w:ascii="Times New Roman" w:hAnsi="黑体" w:eastAsia="黑体" w:cs="Times New Roman"/>
          <w:sz w:val="32"/>
          <w:szCs w:val="32"/>
          <w:lang w:val="en-US" w:eastAsia="zh-CN"/>
        </w:rPr>
        <w:t xml:space="preserve"> </w:t>
      </w:r>
      <w:r>
        <w:rPr>
          <w:rFonts w:hint="eastAsia" w:ascii="Times New Roman" w:hAnsi="黑体" w:eastAsia="黑体" w:cs="Times New Roman"/>
          <w:sz w:val="32"/>
          <w:szCs w:val="32"/>
        </w:rPr>
        <w:t>资金绩效目标</w:t>
      </w:r>
    </w:p>
    <w:p>
      <w:pPr>
        <w:ind w:firstLine="560"/>
        <w:rPr>
          <w:rFonts w:ascii="方正仿宋_GBK" w:hAnsi="方正仿宋_GBK" w:eastAsia="方正仿宋_GBK" w:cs="方正仿宋_GBK"/>
          <w:b/>
          <w:color w:val="000000"/>
          <w:sz w:val="28"/>
        </w:rPr>
      </w:pPr>
    </w:p>
    <w:p>
      <w:pPr>
        <w:ind w:firstLine="560"/>
      </w:pPr>
      <w:r>
        <w:rPr>
          <w:rFonts w:ascii="方正仿宋_GBK" w:hAnsi="方正仿宋_GBK" w:eastAsia="方正仿宋_GBK" w:cs="方正仿宋_GBK"/>
          <w:b/>
          <w:color w:val="000000"/>
          <w:sz w:val="28"/>
        </w:rPr>
        <w:t>1、93分流人员补助经费绩效目标表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1.本年度按时发放九三分流人员统筹外资金发放，保障九三分流人员基本待遇，确保人员队伍稳定。</w:t>
            </w:r>
          </w:p>
          <w:p>
            <w:pPr>
              <w:pStyle w:val="14"/>
            </w:pPr>
            <w:r>
              <w:t>2.保障九三分流人员基本待遇，确保人员队伍稳定，维护社会稳定。</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“93分流人员”统筹外发放人数</w:t>
            </w:r>
          </w:p>
        </w:tc>
        <w:tc>
          <w:tcPr>
            <w:tcW w:w="2835" w:type="dxa"/>
            <w:vAlign w:val="center"/>
          </w:tcPr>
          <w:p>
            <w:pPr>
              <w:pStyle w:val="14"/>
            </w:pPr>
            <w:r>
              <w:t>“93分流人员”统筹外发放情况</w:t>
            </w:r>
          </w:p>
        </w:tc>
        <w:tc>
          <w:tcPr>
            <w:tcW w:w="2551" w:type="dxa"/>
            <w:vAlign w:val="center"/>
          </w:tcPr>
          <w:p>
            <w:pPr>
              <w:pStyle w:val="14"/>
            </w:pPr>
            <w:r>
              <w:t>36人</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“94分流人员”统筹外发放合格情况</w:t>
            </w:r>
          </w:p>
        </w:tc>
        <w:tc>
          <w:tcPr>
            <w:tcW w:w="2835" w:type="dxa"/>
            <w:vAlign w:val="center"/>
          </w:tcPr>
          <w:p>
            <w:pPr>
              <w:pStyle w:val="14"/>
            </w:pPr>
            <w:r>
              <w:t>符合“93分流人员”统筹外发放合格率</w:t>
            </w:r>
          </w:p>
        </w:tc>
        <w:tc>
          <w:tcPr>
            <w:tcW w:w="2551" w:type="dxa"/>
            <w:vAlign w:val="center"/>
          </w:tcPr>
          <w:p>
            <w:pPr>
              <w:pStyle w:val="14"/>
            </w:pPr>
            <w:r>
              <w:t>≥95%</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资金发放时间</w:t>
            </w:r>
          </w:p>
        </w:tc>
        <w:tc>
          <w:tcPr>
            <w:tcW w:w="2835" w:type="dxa"/>
            <w:vAlign w:val="center"/>
          </w:tcPr>
          <w:p>
            <w:pPr>
              <w:pStyle w:val="14"/>
            </w:pPr>
            <w:r>
              <w:t>资金实际发放时间</w:t>
            </w:r>
          </w:p>
        </w:tc>
        <w:tc>
          <w:tcPr>
            <w:tcW w:w="2551" w:type="dxa"/>
            <w:vAlign w:val="center"/>
          </w:tcPr>
          <w:p>
            <w:pPr>
              <w:pStyle w:val="14"/>
            </w:pPr>
            <w:r>
              <w:t>及时</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统筹外资金发放控制额</w:t>
            </w:r>
          </w:p>
        </w:tc>
        <w:tc>
          <w:tcPr>
            <w:tcW w:w="2835" w:type="dxa"/>
            <w:vAlign w:val="center"/>
          </w:tcPr>
          <w:p>
            <w:pPr>
              <w:pStyle w:val="14"/>
            </w:pPr>
            <w:r>
              <w:t>统筹外资金月发放控制金额</w:t>
            </w:r>
          </w:p>
        </w:tc>
        <w:tc>
          <w:tcPr>
            <w:tcW w:w="2551" w:type="dxa"/>
            <w:vAlign w:val="center"/>
          </w:tcPr>
          <w:p>
            <w:pPr>
              <w:pStyle w:val="14"/>
            </w:pPr>
            <w:r>
              <w:t>≤17万元</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维护社会稳定</w:t>
            </w:r>
          </w:p>
        </w:tc>
        <w:tc>
          <w:tcPr>
            <w:tcW w:w="2835" w:type="dxa"/>
            <w:vAlign w:val="center"/>
          </w:tcPr>
          <w:p>
            <w:pPr>
              <w:pStyle w:val="14"/>
            </w:pPr>
            <w:r>
              <w:t>维护社会稳定</w:t>
            </w:r>
          </w:p>
        </w:tc>
        <w:tc>
          <w:tcPr>
            <w:tcW w:w="2551" w:type="dxa"/>
            <w:vAlign w:val="center"/>
          </w:tcPr>
          <w:p>
            <w:pPr>
              <w:pStyle w:val="14"/>
            </w:pPr>
            <w:r>
              <w:t>维护</w:t>
            </w:r>
          </w:p>
        </w:tc>
        <w:tc>
          <w:tcPr>
            <w:tcW w:w="2268" w:type="dxa"/>
            <w:vAlign w:val="center"/>
          </w:tcPr>
          <w:p>
            <w:pPr>
              <w:pStyle w:val="14"/>
            </w:pPr>
            <w: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“93分流人员”统筹人员满意度</w:t>
            </w:r>
          </w:p>
        </w:tc>
        <w:tc>
          <w:tcPr>
            <w:tcW w:w="2835" w:type="dxa"/>
            <w:vAlign w:val="center"/>
          </w:tcPr>
          <w:p>
            <w:pPr>
              <w:pStyle w:val="14"/>
            </w:pPr>
            <w:r>
              <w:t>考察“93分流人员”统筹人员满意度</w:t>
            </w:r>
          </w:p>
        </w:tc>
        <w:tc>
          <w:tcPr>
            <w:tcW w:w="2551" w:type="dxa"/>
            <w:vAlign w:val="center"/>
          </w:tcPr>
          <w:p>
            <w:pPr>
              <w:pStyle w:val="14"/>
            </w:pPr>
            <w:r>
              <w:t>≥95%</w:t>
            </w:r>
          </w:p>
        </w:tc>
        <w:tc>
          <w:tcPr>
            <w:tcW w:w="2268" w:type="dxa"/>
            <w:vAlign w:val="center"/>
          </w:tcPr>
          <w:p>
            <w:pPr>
              <w:pStyle w:val="14"/>
            </w:pPr>
            <w:r>
              <w:t>问卷调查</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2、市发改委工作经费绩效目标表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1.保障单位业务工作正常开展，满足业务工作需求，更好的完成国家、省及市领导交办工作的顺利完成。</w:t>
            </w:r>
          </w:p>
          <w:p>
            <w:pPr>
              <w:pStyle w:val="14"/>
            </w:pPr>
            <w:r>
              <w:t>2.保障单位运行工作正常开展，满足业务工作需求，更好的完成国家、省及市领导交办工作的顺利完成。</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物业合同数</w:t>
            </w:r>
          </w:p>
        </w:tc>
        <w:tc>
          <w:tcPr>
            <w:tcW w:w="2835" w:type="dxa"/>
            <w:vAlign w:val="center"/>
          </w:tcPr>
          <w:p>
            <w:pPr>
              <w:pStyle w:val="14"/>
            </w:pPr>
            <w:r>
              <w:t>物业合同数</w:t>
            </w:r>
          </w:p>
        </w:tc>
        <w:tc>
          <w:tcPr>
            <w:tcW w:w="2551" w:type="dxa"/>
            <w:vAlign w:val="center"/>
          </w:tcPr>
          <w:p>
            <w:pPr>
              <w:pStyle w:val="14"/>
            </w:pPr>
            <w:r>
              <w:t>1个</w:t>
            </w:r>
          </w:p>
        </w:tc>
        <w:tc>
          <w:tcPr>
            <w:tcW w:w="2268" w:type="dxa"/>
            <w:vAlign w:val="center"/>
          </w:tcPr>
          <w:p>
            <w:pPr>
              <w:pStyle w:val="14"/>
            </w:pPr>
            <w:r>
              <w:t>物业合同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保障业务工作开展</w:t>
            </w:r>
          </w:p>
        </w:tc>
        <w:tc>
          <w:tcPr>
            <w:tcW w:w="2835" w:type="dxa"/>
            <w:vAlign w:val="center"/>
          </w:tcPr>
          <w:p>
            <w:pPr>
              <w:pStyle w:val="14"/>
            </w:pPr>
            <w:r>
              <w:t>保障业务工作顺利完成率</w:t>
            </w:r>
          </w:p>
        </w:tc>
        <w:tc>
          <w:tcPr>
            <w:tcW w:w="2551" w:type="dxa"/>
            <w:vAlign w:val="center"/>
          </w:tcPr>
          <w:p>
            <w:pPr>
              <w:pStyle w:val="14"/>
            </w:pPr>
            <w:r>
              <w:t>≥90%</w:t>
            </w:r>
          </w:p>
        </w:tc>
        <w:tc>
          <w:tcPr>
            <w:tcW w:w="2268" w:type="dxa"/>
            <w:vAlign w:val="center"/>
          </w:tcPr>
          <w:p>
            <w:pPr>
              <w:pStyle w:val="14"/>
            </w:pPr>
            <w:r>
              <w:t>相关文件、通知、协议。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及时性</w:t>
            </w:r>
          </w:p>
        </w:tc>
        <w:tc>
          <w:tcPr>
            <w:tcW w:w="2835" w:type="dxa"/>
            <w:vAlign w:val="center"/>
          </w:tcPr>
          <w:p>
            <w:pPr>
              <w:pStyle w:val="14"/>
            </w:pPr>
            <w:r>
              <w:t>按时完成工作进度</w:t>
            </w:r>
          </w:p>
        </w:tc>
        <w:tc>
          <w:tcPr>
            <w:tcW w:w="2551" w:type="dxa"/>
            <w:vAlign w:val="center"/>
          </w:tcPr>
          <w:p>
            <w:pPr>
              <w:pStyle w:val="14"/>
            </w:pPr>
            <w:r>
              <w:t>及时</w:t>
            </w:r>
          </w:p>
        </w:tc>
        <w:tc>
          <w:tcPr>
            <w:tcW w:w="2268" w:type="dxa"/>
            <w:vAlign w:val="center"/>
          </w:tcPr>
          <w:p>
            <w:pPr>
              <w:pStyle w:val="14"/>
            </w:pPr>
            <w:r>
              <w:t>相关文件、通知、协议。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成本控制额</w:t>
            </w:r>
          </w:p>
        </w:tc>
        <w:tc>
          <w:tcPr>
            <w:tcW w:w="2835" w:type="dxa"/>
            <w:vAlign w:val="center"/>
          </w:tcPr>
          <w:p>
            <w:pPr>
              <w:pStyle w:val="14"/>
            </w:pPr>
            <w:r>
              <w:t>成本控制在预算定额内</w:t>
            </w:r>
          </w:p>
        </w:tc>
        <w:tc>
          <w:tcPr>
            <w:tcW w:w="2551" w:type="dxa"/>
            <w:vAlign w:val="center"/>
          </w:tcPr>
          <w:p>
            <w:pPr>
              <w:pStyle w:val="14"/>
            </w:pPr>
            <w:r>
              <w:t>≤225万元</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保障工作开展</w:t>
            </w:r>
          </w:p>
        </w:tc>
        <w:tc>
          <w:tcPr>
            <w:tcW w:w="2835" w:type="dxa"/>
            <w:vAlign w:val="center"/>
          </w:tcPr>
          <w:p>
            <w:pPr>
              <w:pStyle w:val="14"/>
            </w:pPr>
            <w:r>
              <w:t>保障行政工作的顺利开展</w:t>
            </w:r>
          </w:p>
        </w:tc>
        <w:tc>
          <w:tcPr>
            <w:tcW w:w="2551" w:type="dxa"/>
            <w:vAlign w:val="center"/>
          </w:tcPr>
          <w:p>
            <w:pPr>
              <w:pStyle w:val="14"/>
            </w:pPr>
            <w:r>
              <w:t>保障</w:t>
            </w:r>
          </w:p>
        </w:tc>
        <w:tc>
          <w:tcPr>
            <w:tcW w:w="2268" w:type="dxa"/>
            <w:vAlign w:val="center"/>
          </w:tcPr>
          <w:p>
            <w:pPr>
              <w:pStyle w:val="14"/>
            </w:pPr>
            <w: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服务对象满意率</w:t>
            </w:r>
          </w:p>
        </w:tc>
        <w:tc>
          <w:tcPr>
            <w:tcW w:w="2835" w:type="dxa"/>
            <w:vAlign w:val="center"/>
          </w:tcPr>
          <w:p>
            <w:pPr>
              <w:pStyle w:val="14"/>
            </w:pPr>
            <w:r>
              <w:t>服务对象对我委开展工作的满意情况</w:t>
            </w:r>
          </w:p>
        </w:tc>
        <w:tc>
          <w:tcPr>
            <w:tcW w:w="2551" w:type="dxa"/>
            <w:vAlign w:val="center"/>
          </w:tcPr>
          <w:p>
            <w:pPr>
              <w:pStyle w:val="14"/>
            </w:pPr>
            <w:r>
              <w:t>≥90%</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3、2023年度市级食盐储备专项经费绩效目标表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1.市级食盐储备计划为3000吨，其中小包装入口食盐2500吨，散装食品加工用盐500吨。</w:t>
            </w:r>
          </w:p>
          <w:p>
            <w:pPr>
              <w:pStyle w:val="14"/>
            </w:pPr>
            <w:r>
              <w:t>2.市级食盐储备计划为3000吨，保障食盐储备充足。</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市级食盐储备数量真实率</w:t>
            </w:r>
          </w:p>
        </w:tc>
        <w:tc>
          <w:tcPr>
            <w:tcW w:w="2835" w:type="dxa"/>
            <w:vAlign w:val="center"/>
          </w:tcPr>
          <w:p>
            <w:pPr>
              <w:pStyle w:val="14"/>
            </w:pPr>
            <w:r>
              <w:t>储备物资实际库存数量占市级食盐储备数量的比率</w:t>
            </w:r>
          </w:p>
        </w:tc>
        <w:tc>
          <w:tcPr>
            <w:tcW w:w="2551" w:type="dxa"/>
            <w:vAlign w:val="center"/>
          </w:tcPr>
          <w:p>
            <w:pPr>
              <w:pStyle w:val="14"/>
            </w:pPr>
            <w:r>
              <w:t>≥3000吨</w:t>
            </w:r>
          </w:p>
        </w:tc>
        <w:tc>
          <w:tcPr>
            <w:tcW w:w="2268" w:type="dxa"/>
            <w:vAlign w:val="center"/>
          </w:tcPr>
          <w:p>
            <w:pPr>
              <w:pStyle w:val="14"/>
            </w:pPr>
            <w:r>
              <w:t>按公式计算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市级食盐储备质量完好率</w:t>
            </w:r>
          </w:p>
        </w:tc>
        <w:tc>
          <w:tcPr>
            <w:tcW w:w="2835" w:type="dxa"/>
            <w:vAlign w:val="center"/>
          </w:tcPr>
          <w:p>
            <w:pPr>
              <w:pStyle w:val="14"/>
            </w:pPr>
            <w:r>
              <w:t>无质量问题储备物资数量占全部储存数量的比率</w:t>
            </w:r>
          </w:p>
        </w:tc>
        <w:tc>
          <w:tcPr>
            <w:tcW w:w="2551" w:type="dxa"/>
            <w:vAlign w:val="center"/>
          </w:tcPr>
          <w:p>
            <w:pPr>
              <w:pStyle w:val="14"/>
            </w:pPr>
            <w:r>
              <w:t>100%</w:t>
            </w:r>
          </w:p>
        </w:tc>
        <w:tc>
          <w:tcPr>
            <w:tcW w:w="2268" w:type="dxa"/>
            <w:vAlign w:val="center"/>
          </w:tcPr>
          <w:p>
            <w:pPr>
              <w:pStyle w:val="14"/>
            </w:pPr>
            <w:r>
              <w:t>按公式计算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市级食盐储备盘点次数</w:t>
            </w:r>
          </w:p>
        </w:tc>
        <w:tc>
          <w:tcPr>
            <w:tcW w:w="2835" w:type="dxa"/>
            <w:vAlign w:val="center"/>
          </w:tcPr>
          <w:p>
            <w:pPr>
              <w:pStyle w:val="14"/>
            </w:pPr>
            <w:r>
              <w:t>当年储备物资实时盘点的次数</w:t>
            </w:r>
          </w:p>
        </w:tc>
        <w:tc>
          <w:tcPr>
            <w:tcW w:w="2551" w:type="dxa"/>
            <w:vAlign w:val="center"/>
          </w:tcPr>
          <w:p>
            <w:pPr>
              <w:pStyle w:val="14"/>
            </w:pPr>
            <w:r>
              <w:t>≥12次</w:t>
            </w:r>
          </w:p>
        </w:tc>
        <w:tc>
          <w:tcPr>
            <w:tcW w:w="2268" w:type="dxa"/>
            <w:vAlign w:val="center"/>
          </w:tcPr>
          <w:p>
            <w:pPr>
              <w:pStyle w:val="14"/>
            </w:pPr>
            <w:r>
              <w:t>全年按时完成盘点次数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成本控制率</w:t>
            </w:r>
          </w:p>
        </w:tc>
        <w:tc>
          <w:tcPr>
            <w:tcW w:w="2835" w:type="dxa"/>
            <w:vAlign w:val="center"/>
          </w:tcPr>
          <w:p>
            <w:pPr>
              <w:pStyle w:val="14"/>
            </w:pPr>
            <w:r>
              <w:t>成本控制情况</w:t>
            </w:r>
          </w:p>
        </w:tc>
        <w:tc>
          <w:tcPr>
            <w:tcW w:w="2551" w:type="dxa"/>
            <w:vAlign w:val="center"/>
          </w:tcPr>
          <w:p>
            <w:pPr>
              <w:pStyle w:val="14"/>
            </w:pPr>
            <w:r>
              <w:t>≤100%</w:t>
            </w:r>
          </w:p>
        </w:tc>
        <w:tc>
          <w:tcPr>
            <w:tcW w:w="2268" w:type="dxa"/>
            <w:vAlign w:val="center"/>
          </w:tcPr>
          <w:p>
            <w:pPr>
              <w:pStyle w:val="14"/>
            </w:pPr>
            <w: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市级食盐储备应急保障率</w:t>
            </w:r>
          </w:p>
        </w:tc>
        <w:tc>
          <w:tcPr>
            <w:tcW w:w="2835" w:type="dxa"/>
            <w:vAlign w:val="center"/>
          </w:tcPr>
          <w:p>
            <w:pPr>
              <w:pStyle w:val="14"/>
            </w:pPr>
            <w:r>
              <w:t>储备物资实际应急供应量占计划应急供应量的比率</w:t>
            </w:r>
          </w:p>
        </w:tc>
        <w:tc>
          <w:tcPr>
            <w:tcW w:w="2551" w:type="dxa"/>
            <w:vAlign w:val="center"/>
          </w:tcPr>
          <w:p>
            <w:pPr>
              <w:pStyle w:val="14"/>
            </w:pPr>
            <w:r>
              <w:t>100%</w:t>
            </w:r>
          </w:p>
        </w:tc>
        <w:tc>
          <w:tcPr>
            <w:tcW w:w="2268" w:type="dxa"/>
            <w:vAlign w:val="center"/>
          </w:tcPr>
          <w:p>
            <w:pPr>
              <w:pStyle w:val="14"/>
            </w:pPr>
            <w:r>
              <w:t>按公式计算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群众对食盐市场满意度</w:t>
            </w:r>
          </w:p>
        </w:tc>
        <w:tc>
          <w:tcPr>
            <w:tcW w:w="2835" w:type="dxa"/>
            <w:vAlign w:val="center"/>
          </w:tcPr>
          <w:p>
            <w:pPr>
              <w:pStyle w:val="14"/>
            </w:pPr>
            <w:r>
              <w:t>人民群众对食盐市场异常波动的满意程度</w:t>
            </w:r>
          </w:p>
        </w:tc>
        <w:tc>
          <w:tcPr>
            <w:tcW w:w="2551" w:type="dxa"/>
            <w:vAlign w:val="center"/>
          </w:tcPr>
          <w:p>
            <w:pPr>
              <w:pStyle w:val="14"/>
            </w:pPr>
            <w:r>
              <w:t>≥98%</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4、2023年简易建筑费（冀财建【2022】258号）绩效目标表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1.用于我市国有粮食企业仓储设施的简易维修。</w:t>
            </w:r>
          </w:p>
          <w:p>
            <w:pPr>
              <w:pStyle w:val="14"/>
            </w:pPr>
            <w:r>
              <w:t>2.改善国有粮食企业仓储设施。</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下拨企业数量</w:t>
            </w:r>
          </w:p>
        </w:tc>
        <w:tc>
          <w:tcPr>
            <w:tcW w:w="2835" w:type="dxa"/>
            <w:vAlign w:val="center"/>
          </w:tcPr>
          <w:p>
            <w:pPr>
              <w:pStyle w:val="14"/>
            </w:pPr>
            <w:r>
              <w:t>下拨企业粮库维修费</w:t>
            </w:r>
          </w:p>
        </w:tc>
        <w:tc>
          <w:tcPr>
            <w:tcW w:w="2551" w:type="dxa"/>
            <w:vAlign w:val="center"/>
          </w:tcPr>
          <w:p>
            <w:pPr>
              <w:pStyle w:val="14"/>
            </w:pPr>
            <w:r>
              <w:t>≥1个</w:t>
            </w:r>
          </w:p>
        </w:tc>
        <w:tc>
          <w:tcPr>
            <w:tcW w:w="2268" w:type="dxa"/>
            <w:vAlign w:val="center"/>
          </w:tcPr>
          <w:p>
            <w:pPr>
              <w:pStyle w:val="14"/>
            </w:pPr>
            <w:r>
              <w:t>相关文件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优良率</w:t>
            </w:r>
          </w:p>
        </w:tc>
        <w:tc>
          <w:tcPr>
            <w:tcW w:w="2835" w:type="dxa"/>
            <w:vAlign w:val="center"/>
          </w:tcPr>
          <w:p>
            <w:pPr>
              <w:pStyle w:val="14"/>
            </w:pPr>
            <w:r>
              <w:t>结项鉴定优秀等级项目数量占结项总数量的比例（百分比）</w:t>
            </w:r>
          </w:p>
        </w:tc>
        <w:tc>
          <w:tcPr>
            <w:tcW w:w="2551" w:type="dxa"/>
            <w:vAlign w:val="center"/>
          </w:tcPr>
          <w:p>
            <w:pPr>
              <w:pStyle w:val="14"/>
            </w:pPr>
            <w:r>
              <w:t>≥95%</w:t>
            </w:r>
          </w:p>
        </w:tc>
        <w:tc>
          <w:tcPr>
            <w:tcW w:w="2268" w:type="dxa"/>
            <w:vAlign w:val="center"/>
          </w:tcPr>
          <w:p>
            <w:pPr>
              <w:pStyle w:val="14"/>
            </w:pPr>
            <w:r>
              <w:t>相关文件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及时性</w:t>
            </w:r>
          </w:p>
        </w:tc>
        <w:tc>
          <w:tcPr>
            <w:tcW w:w="2835" w:type="dxa"/>
            <w:vAlign w:val="center"/>
          </w:tcPr>
          <w:p>
            <w:pPr>
              <w:pStyle w:val="14"/>
            </w:pPr>
            <w:r>
              <w:t>及时拨付下拨企业资金</w:t>
            </w:r>
          </w:p>
        </w:tc>
        <w:tc>
          <w:tcPr>
            <w:tcW w:w="2551" w:type="dxa"/>
            <w:vAlign w:val="center"/>
          </w:tcPr>
          <w:p>
            <w:pPr>
              <w:pStyle w:val="14"/>
            </w:pPr>
            <w:r>
              <w:t>及时</w:t>
            </w:r>
          </w:p>
        </w:tc>
        <w:tc>
          <w:tcPr>
            <w:tcW w:w="2268" w:type="dxa"/>
            <w:vAlign w:val="center"/>
          </w:tcPr>
          <w:p>
            <w:pPr>
              <w:pStyle w:val="14"/>
            </w:pPr>
            <w:r>
              <w:t>验收报告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成本控制</w:t>
            </w:r>
          </w:p>
        </w:tc>
        <w:tc>
          <w:tcPr>
            <w:tcW w:w="2835" w:type="dxa"/>
            <w:vAlign w:val="center"/>
          </w:tcPr>
          <w:p>
            <w:pPr>
              <w:pStyle w:val="14"/>
            </w:pPr>
            <w:r>
              <w:t>成本控制在预算内</w:t>
            </w:r>
          </w:p>
        </w:tc>
        <w:tc>
          <w:tcPr>
            <w:tcW w:w="2551" w:type="dxa"/>
            <w:vAlign w:val="center"/>
          </w:tcPr>
          <w:p>
            <w:pPr>
              <w:pStyle w:val="14"/>
            </w:pPr>
            <w:r>
              <w:t>≤46万元</w:t>
            </w:r>
          </w:p>
        </w:tc>
        <w:tc>
          <w:tcPr>
            <w:tcW w:w="2268" w:type="dxa"/>
            <w:vAlign w:val="center"/>
          </w:tcPr>
          <w:p>
            <w:pPr>
              <w:pStyle w:val="14"/>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保障国有粮食企业基础设置安全</w:t>
            </w:r>
          </w:p>
        </w:tc>
        <w:tc>
          <w:tcPr>
            <w:tcW w:w="2835" w:type="dxa"/>
            <w:vAlign w:val="center"/>
          </w:tcPr>
          <w:p>
            <w:pPr>
              <w:pStyle w:val="14"/>
            </w:pPr>
            <w:r>
              <w:t>保证国有粮食企业基础设施安全有效</w:t>
            </w:r>
          </w:p>
        </w:tc>
        <w:tc>
          <w:tcPr>
            <w:tcW w:w="2551" w:type="dxa"/>
            <w:vAlign w:val="center"/>
          </w:tcPr>
          <w:p>
            <w:pPr>
              <w:pStyle w:val="14"/>
            </w:pPr>
            <w:r>
              <w:t>保障</w:t>
            </w:r>
          </w:p>
        </w:tc>
        <w:tc>
          <w:tcPr>
            <w:tcW w:w="2268" w:type="dxa"/>
            <w:vAlign w:val="center"/>
          </w:tcPr>
          <w:p>
            <w:pPr>
              <w:pStyle w:val="14"/>
            </w:pPr>
            <w:r>
              <w:t>相关文件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企业满意度</w:t>
            </w:r>
          </w:p>
        </w:tc>
        <w:tc>
          <w:tcPr>
            <w:tcW w:w="2835" w:type="dxa"/>
            <w:vAlign w:val="center"/>
          </w:tcPr>
          <w:p>
            <w:pPr>
              <w:pStyle w:val="14"/>
            </w:pPr>
            <w:r>
              <w:t>下拨企业对资金拨付满意度</w:t>
            </w:r>
          </w:p>
        </w:tc>
        <w:tc>
          <w:tcPr>
            <w:tcW w:w="2551" w:type="dxa"/>
            <w:vAlign w:val="center"/>
          </w:tcPr>
          <w:p>
            <w:pPr>
              <w:pStyle w:val="14"/>
            </w:pPr>
            <w:r>
              <w:t>≥90%</w:t>
            </w:r>
          </w:p>
        </w:tc>
        <w:tc>
          <w:tcPr>
            <w:tcW w:w="2268" w:type="dxa"/>
            <w:vAlign w:val="center"/>
          </w:tcPr>
          <w:p>
            <w:pPr>
              <w:pStyle w:val="14"/>
            </w:pPr>
            <w:r>
              <w:t xml:space="preserve">问卷调查 </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5、2023年军粮供应和集约化保障建设资金（冀财建【2022】249号）绩效目标表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1.保障我市2023年供应基础工作。</w:t>
            </w:r>
          </w:p>
          <w:p>
            <w:pPr>
              <w:pStyle w:val="14"/>
            </w:pPr>
            <w:r>
              <w:t>2.做好集约化保障建设资金。</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下拨单位数量</w:t>
            </w:r>
          </w:p>
        </w:tc>
        <w:tc>
          <w:tcPr>
            <w:tcW w:w="2835" w:type="dxa"/>
            <w:vAlign w:val="center"/>
          </w:tcPr>
          <w:p>
            <w:pPr>
              <w:pStyle w:val="14"/>
            </w:pPr>
            <w:r>
              <w:t>根据文件要求下拨单位数量</w:t>
            </w:r>
          </w:p>
        </w:tc>
        <w:tc>
          <w:tcPr>
            <w:tcW w:w="2551" w:type="dxa"/>
            <w:vAlign w:val="center"/>
          </w:tcPr>
          <w:p>
            <w:pPr>
              <w:pStyle w:val="14"/>
            </w:pPr>
            <w:r>
              <w:t>≥1个</w:t>
            </w:r>
          </w:p>
        </w:tc>
        <w:tc>
          <w:tcPr>
            <w:tcW w:w="2268" w:type="dxa"/>
            <w:vAlign w:val="center"/>
          </w:tcPr>
          <w:p>
            <w:pPr>
              <w:pStyle w:val="14"/>
            </w:pPr>
            <w:r>
              <w:t>相关文件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下拨单位准确率</w:t>
            </w:r>
          </w:p>
        </w:tc>
        <w:tc>
          <w:tcPr>
            <w:tcW w:w="2835" w:type="dxa"/>
            <w:vAlign w:val="center"/>
          </w:tcPr>
          <w:p>
            <w:pPr>
              <w:pStyle w:val="14"/>
            </w:pPr>
            <w:r>
              <w:t>下拨单位准确情况</w:t>
            </w:r>
          </w:p>
        </w:tc>
        <w:tc>
          <w:tcPr>
            <w:tcW w:w="2551" w:type="dxa"/>
            <w:vAlign w:val="center"/>
          </w:tcPr>
          <w:p>
            <w:pPr>
              <w:pStyle w:val="14"/>
            </w:pPr>
            <w:r>
              <w:t>100%</w:t>
            </w:r>
          </w:p>
        </w:tc>
        <w:tc>
          <w:tcPr>
            <w:tcW w:w="2268" w:type="dxa"/>
            <w:vAlign w:val="center"/>
          </w:tcPr>
          <w:p>
            <w:pPr>
              <w:pStyle w:val="14"/>
            </w:pPr>
            <w:r>
              <w:t>相关文件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及时性</w:t>
            </w:r>
          </w:p>
        </w:tc>
        <w:tc>
          <w:tcPr>
            <w:tcW w:w="2835" w:type="dxa"/>
            <w:vAlign w:val="center"/>
          </w:tcPr>
          <w:p>
            <w:pPr>
              <w:pStyle w:val="14"/>
            </w:pPr>
            <w:r>
              <w:t>及时下拨资金</w:t>
            </w:r>
          </w:p>
        </w:tc>
        <w:tc>
          <w:tcPr>
            <w:tcW w:w="2551" w:type="dxa"/>
            <w:vAlign w:val="center"/>
          </w:tcPr>
          <w:p>
            <w:pPr>
              <w:pStyle w:val="14"/>
            </w:pPr>
            <w:r>
              <w:t>及时</w:t>
            </w:r>
          </w:p>
        </w:tc>
        <w:tc>
          <w:tcPr>
            <w:tcW w:w="2268" w:type="dxa"/>
            <w:vAlign w:val="center"/>
          </w:tcPr>
          <w:p>
            <w:pPr>
              <w:pStyle w:val="14"/>
            </w:pPr>
            <w:r>
              <w:t>财务拨付凭证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成本控制</w:t>
            </w:r>
          </w:p>
        </w:tc>
        <w:tc>
          <w:tcPr>
            <w:tcW w:w="2835" w:type="dxa"/>
            <w:vAlign w:val="center"/>
          </w:tcPr>
          <w:p>
            <w:pPr>
              <w:pStyle w:val="14"/>
            </w:pPr>
            <w:r>
              <w:t>成本控制在预算内</w:t>
            </w:r>
          </w:p>
        </w:tc>
        <w:tc>
          <w:tcPr>
            <w:tcW w:w="2551" w:type="dxa"/>
            <w:vAlign w:val="center"/>
          </w:tcPr>
          <w:p>
            <w:pPr>
              <w:pStyle w:val="14"/>
            </w:pPr>
            <w:r>
              <w:t>≤113万元</w:t>
            </w:r>
          </w:p>
        </w:tc>
        <w:tc>
          <w:tcPr>
            <w:tcW w:w="2268" w:type="dxa"/>
            <w:vAlign w:val="center"/>
          </w:tcPr>
          <w:p>
            <w:pPr>
              <w:pStyle w:val="14"/>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保障军粮供应</w:t>
            </w:r>
          </w:p>
        </w:tc>
        <w:tc>
          <w:tcPr>
            <w:tcW w:w="2835" w:type="dxa"/>
            <w:vAlign w:val="center"/>
          </w:tcPr>
          <w:p>
            <w:pPr>
              <w:pStyle w:val="14"/>
            </w:pPr>
            <w:r>
              <w:t>保障我市军粮供应工作顺利开展</w:t>
            </w:r>
          </w:p>
        </w:tc>
        <w:tc>
          <w:tcPr>
            <w:tcW w:w="2551" w:type="dxa"/>
            <w:vAlign w:val="center"/>
          </w:tcPr>
          <w:p>
            <w:pPr>
              <w:pStyle w:val="14"/>
            </w:pPr>
            <w:r>
              <w:t>保障</w:t>
            </w:r>
          </w:p>
        </w:tc>
        <w:tc>
          <w:tcPr>
            <w:tcW w:w="2268" w:type="dxa"/>
            <w:vAlign w:val="center"/>
          </w:tcPr>
          <w:p>
            <w:pPr>
              <w:pStyle w:val="14"/>
            </w:pPr>
            <w:r>
              <w:t>工作报告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下属企业满意度</w:t>
            </w:r>
          </w:p>
        </w:tc>
        <w:tc>
          <w:tcPr>
            <w:tcW w:w="2835" w:type="dxa"/>
            <w:vAlign w:val="center"/>
          </w:tcPr>
          <w:p>
            <w:pPr>
              <w:pStyle w:val="14"/>
            </w:pPr>
            <w:r>
              <w:t>下属企业对下拨资金情况的满意度</w:t>
            </w:r>
          </w:p>
        </w:tc>
        <w:tc>
          <w:tcPr>
            <w:tcW w:w="2551" w:type="dxa"/>
            <w:vAlign w:val="center"/>
          </w:tcPr>
          <w:p>
            <w:pPr>
              <w:pStyle w:val="14"/>
            </w:pPr>
            <w:r>
              <w:t>≥95%</w:t>
            </w:r>
          </w:p>
        </w:tc>
        <w:tc>
          <w:tcPr>
            <w:tcW w:w="2268" w:type="dxa"/>
            <w:vAlign w:val="center"/>
          </w:tcPr>
          <w:p>
            <w:pPr>
              <w:pStyle w:val="14"/>
            </w:pPr>
            <w:r>
              <w:t>问卷调查</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6、办公楼装修改造项目资金绩效目标表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1.保障满足正常的办公需求。</w:t>
            </w:r>
          </w:p>
          <w:p>
            <w:pPr>
              <w:pStyle w:val="14"/>
            </w:pPr>
            <w:r>
              <w:t>2.改善办公环境，满足正常办公需求，消除安全隐患。</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施工合同</w:t>
            </w:r>
          </w:p>
        </w:tc>
        <w:tc>
          <w:tcPr>
            <w:tcW w:w="2835" w:type="dxa"/>
            <w:vAlign w:val="center"/>
          </w:tcPr>
          <w:p>
            <w:pPr>
              <w:pStyle w:val="14"/>
            </w:pPr>
            <w:r>
              <w:t>根据工作需求进行招标</w:t>
            </w:r>
          </w:p>
        </w:tc>
        <w:tc>
          <w:tcPr>
            <w:tcW w:w="2551" w:type="dxa"/>
            <w:vAlign w:val="center"/>
          </w:tcPr>
          <w:p>
            <w:pPr>
              <w:pStyle w:val="14"/>
            </w:pPr>
            <w:r>
              <w:t>1个</w:t>
            </w:r>
          </w:p>
        </w:tc>
        <w:tc>
          <w:tcPr>
            <w:tcW w:w="2268" w:type="dxa"/>
            <w:vAlign w:val="center"/>
          </w:tcPr>
          <w:p>
            <w:pPr>
              <w:pStyle w:val="14"/>
            </w:pPr>
            <w:r>
              <w:t>施工合同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下发资金准确率</w:t>
            </w:r>
          </w:p>
        </w:tc>
        <w:tc>
          <w:tcPr>
            <w:tcW w:w="2835" w:type="dxa"/>
            <w:vAlign w:val="center"/>
          </w:tcPr>
          <w:p>
            <w:pPr>
              <w:pStyle w:val="14"/>
            </w:pPr>
            <w:r>
              <w:t>资金下发是否有明确的依据</w:t>
            </w:r>
          </w:p>
        </w:tc>
        <w:tc>
          <w:tcPr>
            <w:tcW w:w="2551" w:type="dxa"/>
            <w:vAlign w:val="center"/>
          </w:tcPr>
          <w:p>
            <w:pPr>
              <w:pStyle w:val="14"/>
            </w:pPr>
            <w:r>
              <w:t>100%</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及时性</w:t>
            </w:r>
          </w:p>
        </w:tc>
        <w:tc>
          <w:tcPr>
            <w:tcW w:w="2835" w:type="dxa"/>
            <w:vAlign w:val="center"/>
          </w:tcPr>
          <w:p>
            <w:pPr>
              <w:pStyle w:val="14"/>
            </w:pPr>
            <w:r>
              <w:t>工作完成的及时性</w:t>
            </w:r>
          </w:p>
        </w:tc>
        <w:tc>
          <w:tcPr>
            <w:tcW w:w="2551" w:type="dxa"/>
            <w:vAlign w:val="center"/>
          </w:tcPr>
          <w:p>
            <w:pPr>
              <w:pStyle w:val="14"/>
            </w:pPr>
            <w:r>
              <w:t>及时</w:t>
            </w:r>
          </w:p>
        </w:tc>
        <w:tc>
          <w:tcPr>
            <w:tcW w:w="2268" w:type="dxa"/>
            <w:vAlign w:val="center"/>
          </w:tcPr>
          <w:p>
            <w:pPr>
              <w:pStyle w:val="14"/>
            </w:pPr>
            <w:r>
              <w:t>完工时间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装修改造项目成本控制金额</w:t>
            </w:r>
          </w:p>
        </w:tc>
        <w:tc>
          <w:tcPr>
            <w:tcW w:w="2835" w:type="dxa"/>
            <w:vAlign w:val="center"/>
          </w:tcPr>
          <w:p>
            <w:pPr>
              <w:pStyle w:val="14"/>
            </w:pPr>
            <w:r>
              <w:t>装修改造项目严格按照预算成本支出</w:t>
            </w:r>
          </w:p>
        </w:tc>
        <w:tc>
          <w:tcPr>
            <w:tcW w:w="2551" w:type="dxa"/>
            <w:vAlign w:val="center"/>
          </w:tcPr>
          <w:p>
            <w:pPr>
              <w:pStyle w:val="14"/>
            </w:pPr>
            <w:r>
              <w:t>≤94.5万元</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进行装修改造，满足办公需求，消除安全隐患</w:t>
            </w:r>
          </w:p>
        </w:tc>
        <w:tc>
          <w:tcPr>
            <w:tcW w:w="2835" w:type="dxa"/>
            <w:vAlign w:val="center"/>
          </w:tcPr>
          <w:p>
            <w:pPr>
              <w:pStyle w:val="14"/>
            </w:pPr>
            <w:r>
              <w:t>对西院南楼进行装修改造</w:t>
            </w:r>
          </w:p>
        </w:tc>
        <w:tc>
          <w:tcPr>
            <w:tcW w:w="2551" w:type="dxa"/>
            <w:vAlign w:val="center"/>
          </w:tcPr>
          <w:p>
            <w:pPr>
              <w:pStyle w:val="14"/>
            </w:pPr>
            <w:r>
              <w:t>改造</w:t>
            </w:r>
          </w:p>
        </w:tc>
        <w:tc>
          <w:tcPr>
            <w:tcW w:w="2268" w:type="dxa"/>
            <w:vAlign w:val="center"/>
          </w:tcPr>
          <w:p>
            <w:pPr>
              <w:pStyle w:val="14"/>
            </w:pPr>
            <w: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验收部门满意度</w:t>
            </w:r>
          </w:p>
        </w:tc>
        <w:tc>
          <w:tcPr>
            <w:tcW w:w="2835" w:type="dxa"/>
            <w:vAlign w:val="center"/>
          </w:tcPr>
          <w:p>
            <w:pPr>
              <w:pStyle w:val="14"/>
            </w:pPr>
            <w:r>
              <w:t>验收部门满意度</w:t>
            </w:r>
          </w:p>
        </w:tc>
        <w:tc>
          <w:tcPr>
            <w:tcW w:w="2551" w:type="dxa"/>
            <w:vAlign w:val="center"/>
          </w:tcPr>
          <w:p>
            <w:pPr>
              <w:pStyle w:val="14"/>
            </w:pPr>
            <w:r>
              <w:t>≥95%</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7、大项目前期工作经费绩效目标表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1.完成2022年全市列入的省重点项目、市重点项目和亿元以上项目建设任务。</w:t>
            </w:r>
          </w:p>
          <w:p>
            <w:pPr>
              <w:pStyle w:val="14"/>
            </w:pPr>
            <w:r>
              <w:t>2.通过加大对重点项目的引进、建设和管理力度，实施项目带动战略，拉动全市经济指标。</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召开会议完成率</w:t>
            </w:r>
          </w:p>
        </w:tc>
        <w:tc>
          <w:tcPr>
            <w:tcW w:w="2835" w:type="dxa"/>
            <w:vAlign w:val="center"/>
          </w:tcPr>
          <w:p>
            <w:pPr>
              <w:pStyle w:val="14"/>
            </w:pPr>
            <w:r>
              <w:t>市委、市政府安排召开的会议完成程度</w:t>
            </w:r>
          </w:p>
        </w:tc>
        <w:tc>
          <w:tcPr>
            <w:tcW w:w="2551" w:type="dxa"/>
            <w:vAlign w:val="center"/>
          </w:tcPr>
          <w:p>
            <w:pPr>
              <w:pStyle w:val="14"/>
            </w:pPr>
            <w:r>
              <w:t>100%</w:t>
            </w:r>
          </w:p>
        </w:tc>
        <w:tc>
          <w:tcPr>
            <w:tcW w:w="2268" w:type="dxa"/>
            <w:vAlign w:val="center"/>
          </w:tcPr>
          <w:p>
            <w:pPr>
              <w:pStyle w:val="14"/>
            </w:pPr>
            <w:r>
              <w:t>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数量指标</w:t>
            </w:r>
          </w:p>
        </w:tc>
        <w:tc>
          <w:tcPr>
            <w:tcW w:w="2835" w:type="dxa"/>
            <w:vAlign w:val="center"/>
          </w:tcPr>
          <w:p>
            <w:pPr>
              <w:pStyle w:val="14"/>
            </w:pPr>
            <w:r>
              <w:t>观摩拉练次数</w:t>
            </w:r>
          </w:p>
        </w:tc>
        <w:tc>
          <w:tcPr>
            <w:tcW w:w="2835" w:type="dxa"/>
            <w:vAlign w:val="center"/>
          </w:tcPr>
          <w:p>
            <w:pPr>
              <w:pStyle w:val="14"/>
            </w:pPr>
            <w:r>
              <w:t>考核织项目观摩拉练次数</w:t>
            </w:r>
          </w:p>
        </w:tc>
        <w:tc>
          <w:tcPr>
            <w:tcW w:w="2551" w:type="dxa"/>
            <w:vAlign w:val="center"/>
          </w:tcPr>
          <w:p>
            <w:pPr>
              <w:pStyle w:val="14"/>
            </w:pPr>
            <w:r>
              <w:t>2次</w:t>
            </w:r>
          </w:p>
        </w:tc>
        <w:tc>
          <w:tcPr>
            <w:tcW w:w="2268" w:type="dxa"/>
            <w:vAlign w:val="center"/>
          </w:tcPr>
          <w:p>
            <w:pPr>
              <w:pStyle w:val="14"/>
            </w:pPr>
            <w:r>
              <w:t>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省、市委、市政府交办的工作任务完成情况</w:t>
            </w:r>
          </w:p>
        </w:tc>
        <w:tc>
          <w:tcPr>
            <w:tcW w:w="2835" w:type="dxa"/>
            <w:vAlign w:val="center"/>
          </w:tcPr>
          <w:p>
            <w:pPr>
              <w:pStyle w:val="14"/>
            </w:pPr>
            <w:r>
              <w:t>完成省、市委、市政府交办的工作任务</w:t>
            </w:r>
          </w:p>
        </w:tc>
        <w:tc>
          <w:tcPr>
            <w:tcW w:w="2551" w:type="dxa"/>
            <w:vAlign w:val="center"/>
          </w:tcPr>
          <w:p>
            <w:pPr>
              <w:pStyle w:val="14"/>
            </w:pPr>
            <w:r>
              <w:t>合格</w:t>
            </w:r>
          </w:p>
        </w:tc>
        <w:tc>
          <w:tcPr>
            <w:tcW w:w="2268" w:type="dxa"/>
            <w:vAlign w:val="center"/>
          </w:tcPr>
          <w:p>
            <w:pPr>
              <w:pStyle w:val="14"/>
            </w:pPr>
            <w:r>
              <w:t>完成工作任务情况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及时完成省、市委、市政府交办的工作任务</w:t>
            </w:r>
          </w:p>
        </w:tc>
        <w:tc>
          <w:tcPr>
            <w:tcW w:w="2835" w:type="dxa"/>
            <w:vAlign w:val="center"/>
          </w:tcPr>
          <w:p>
            <w:pPr>
              <w:pStyle w:val="14"/>
            </w:pPr>
            <w:r>
              <w:t>及时完成省、市委、市政府交办的工作任务及时性</w:t>
            </w:r>
          </w:p>
        </w:tc>
        <w:tc>
          <w:tcPr>
            <w:tcW w:w="2551" w:type="dxa"/>
            <w:vAlign w:val="center"/>
          </w:tcPr>
          <w:p>
            <w:pPr>
              <w:pStyle w:val="14"/>
            </w:pPr>
            <w:r>
              <w:t>及时</w:t>
            </w:r>
          </w:p>
        </w:tc>
        <w:tc>
          <w:tcPr>
            <w:tcW w:w="2268" w:type="dxa"/>
            <w:vAlign w:val="center"/>
          </w:tcPr>
          <w:p>
            <w:pPr>
              <w:pStyle w:val="14"/>
            </w:pPr>
            <w:r>
              <w:t>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成本有效性</w:t>
            </w:r>
          </w:p>
        </w:tc>
        <w:tc>
          <w:tcPr>
            <w:tcW w:w="2835" w:type="dxa"/>
            <w:vAlign w:val="center"/>
          </w:tcPr>
          <w:p>
            <w:pPr>
              <w:pStyle w:val="14"/>
            </w:pPr>
            <w:r>
              <w:t>考核项目实施过程中各项支出是否有效的控制在定额标准内</w:t>
            </w:r>
          </w:p>
        </w:tc>
        <w:tc>
          <w:tcPr>
            <w:tcW w:w="2551" w:type="dxa"/>
            <w:vAlign w:val="center"/>
          </w:tcPr>
          <w:p>
            <w:pPr>
              <w:pStyle w:val="14"/>
            </w:pPr>
            <w:r>
              <w:t>≤150万元</w:t>
            </w:r>
          </w:p>
        </w:tc>
        <w:tc>
          <w:tcPr>
            <w:tcW w:w="2268" w:type="dxa"/>
            <w:vAlign w:val="center"/>
          </w:tcPr>
          <w:p>
            <w:pPr>
              <w:pStyle w:val="14"/>
            </w:pPr>
            <w:r>
              <w:t>预算文本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提高全市经济建设</w:t>
            </w:r>
          </w:p>
        </w:tc>
        <w:tc>
          <w:tcPr>
            <w:tcW w:w="2835" w:type="dxa"/>
            <w:vAlign w:val="center"/>
          </w:tcPr>
          <w:p>
            <w:pPr>
              <w:pStyle w:val="14"/>
            </w:pPr>
            <w:r>
              <w:t>通过加大项目引进、建设和管理力度，实施项目带动战略要求，拉动全市经济建设。</w:t>
            </w:r>
          </w:p>
        </w:tc>
        <w:tc>
          <w:tcPr>
            <w:tcW w:w="2551" w:type="dxa"/>
            <w:vAlign w:val="center"/>
          </w:tcPr>
          <w:p>
            <w:pPr>
              <w:pStyle w:val="14"/>
            </w:pPr>
            <w:r>
              <w:t>提高</w:t>
            </w:r>
          </w:p>
        </w:tc>
        <w:tc>
          <w:tcPr>
            <w:tcW w:w="2268" w:type="dxa"/>
            <w:vAlign w:val="center"/>
          </w:tcPr>
          <w:p>
            <w:pPr>
              <w:pStyle w:val="14"/>
            </w:pPr>
            <w:r>
              <w:t>实际工作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受益群体满意度</w:t>
            </w:r>
          </w:p>
        </w:tc>
        <w:tc>
          <w:tcPr>
            <w:tcW w:w="2835" w:type="dxa"/>
            <w:vAlign w:val="center"/>
          </w:tcPr>
          <w:p>
            <w:pPr>
              <w:pStyle w:val="14"/>
            </w:pPr>
            <w:r>
              <w:t>考核受益群体满意度</w:t>
            </w:r>
          </w:p>
        </w:tc>
        <w:tc>
          <w:tcPr>
            <w:tcW w:w="2551" w:type="dxa"/>
            <w:vAlign w:val="center"/>
          </w:tcPr>
          <w:p>
            <w:pPr>
              <w:pStyle w:val="14"/>
            </w:pPr>
            <w:r>
              <w:t>≥95%</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8、电力设施安全监管、市级企业技术中心评审、购买电代煤第三方技术服务经费绩效目标表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1.通过项目的开展实现对电力行业企业保护电力设施，保障电力设施安全运行工作的监管，提高全社会遵守《电力法》、《电力条例》及保护电力设施、安全用电的意识，保障全市电力设施安全平稳运行的实现。</w:t>
            </w:r>
          </w:p>
          <w:p>
            <w:pPr>
              <w:pStyle w:val="14"/>
            </w:pPr>
            <w:r>
              <w:t>2.通过项目的开展减少电代煤地区用电取暖安全事故，保障群众安全、温暖过冬。</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检查单位数量</w:t>
            </w:r>
          </w:p>
        </w:tc>
        <w:tc>
          <w:tcPr>
            <w:tcW w:w="2835" w:type="dxa"/>
            <w:vAlign w:val="center"/>
          </w:tcPr>
          <w:p>
            <w:pPr>
              <w:pStyle w:val="14"/>
            </w:pPr>
            <w:r>
              <w:t>抽查检查单位数量</w:t>
            </w:r>
          </w:p>
        </w:tc>
        <w:tc>
          <w:tcPr>
            <w:tcW w:w="2551" w:type="dxa"/>
            <w:vAlign w:val="center"/>
          </w:tcPr>
          <w:p>
            <w:pPr>
              <w:pStyle w:val="14"/>
            </w:pPr>
            <w:r>
              <w:t>≥120家</w:t>
            </w:r>
          </w:p>
        </w:tc>
        <w:tc>
          <w:tcPr>
            <w:tcW w:w="2268" w:type="dxa"/>
            <w:vAlign w:val="center"/>
          </w:tcPr>
          <w:p>
            <w:pPr>
              <w:pStyle w:val="14"/>
            </w:pPr>
            <w:r>
              <w:t>电力设施安全检查报告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符合认定条件</w:t>
            </w:r>
          </w:p>
        </w:tc>
        <w:tc>
          <w:tcPr>
            <w:tcW w:w="2835" w:type="dxa"/>
            <w:vAlign w:val="center"/>
          </w:tcPr>
          <w:p>
            <w:pPr>
              <w:pStyle w:val="14"/>
            </w:pPr>
            <w:r>
              <w:t>报告是否验收通过</w:t>
            </w:r>
          </w:p>
        </w:tc>
        <w:tc>
          <w:tcPr>
            <w:tcW w:w="2551" w:type="dxa"/>
            <w:vAlign w:val="center"/>
          </w:tcPr>
          <w:p>
            <w:pPr>
              <w:pStyle w:val="14"/>
            </w:pPr>
            <w:r>
              <w:t>通过</w:t>
            </w:r>
          </w:p>
        </w:tc>
        <w:tc>
          <w:tcPr>
            <w:tcW w:w="2268" w:type="dxa"/>
            <w:vAlign w:val="center"/>
          </w:tcPr>
          <w:p>
            <w:pPr>
              <w:pStyle w:val="14"/>
            </w:pPr>
            <w:r>
              <w:t>电力设施安全检查报告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拨付资金时间</w:t>
            </w:r>
          </w:p>
        </w:tc>
        <w:tc>
          <w:tcPr>
            <w:tcW w:w="2835" w:type="dxa"/>
            <w:vAlign w:val="center"/>
          </w:tcPr>
          <w:p>
            <w:pPr>
              <w:pStyle w:val="14"/>
            </w:pPr>
            <w:r>
              <w:t>是否按合同约定及时完成报告</w:t>
            </w:r>
          </w:p>
        </w:tc>
        <w:tc>
          <w:tcPr>
            <w:tcW w:w="2551" w:type="dxa"/>
            <w:vAlign w:val="center"/>
          </w:tcPr>
          <w:p>
            <w:pPr>
              <w:pStyle w:val="14"/>
            </w:pPr>
            <w:r>
              <w:t>及时</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成本控制额</w:t>
            </w:r>
          </w:p>
        </w:tc>
        <w:tc>
          <w:tcPr>
            <w:tcW w:w="2835" w:type="dxa"/>
            <w:vAlign w:val="center"/>
          </w:tcPr>
          <w:p>
            <w:pPr>
              <w:pStyle w:val="14"/>
            </w:pPr>
            <w:r>
              <w:t>支出成本控制在预算范围内</w:t>
            </w:r>
          </w:p>
        </w:tc>
        <w:tc>
          <w:tcPr>
            <w:tcW w:w="2551" w:type="dxa"/>
            <w:vAlign w:val="center"/>
          </w:tcPr>
          <w:p>
            <w:pPr>
              <w:pStyle w:val="14"/>
            </w:pPr>
            <w:r>
              <w:t>≤35万元</w:t>
            </w:r>
          </w:p>
        </w:tc>
        <w:tc>
          <w:tcPr>
            <w:tcW w:w="2268" w:type="dxa"/>
            <w:vAlign w:val="center"/>
          </w:tcPr>
          <w:p>
            <w:pPr>
              <w:pStyle w:val="14"/>
            </w:pPr>
            <w: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保障电力设施安全运行</w:t>
            </w:r>
          </w:p>
        </w:tc>
        <w:tc>
          <w:tcPr>
            <w:tcW w:w="2835" w:type="dxa"/>
            <w:vAlign w:val="center"/>
          </w:tcPr>
          <w:p>
            <w:pPr>
              <w:pStyle w:val="14"/>
            </w:pPr>
            <w:r>
              <w:t>安全隐患整改率</w:t>
            </w:r>
          </w:p>
        </w:tc>
        <w:tc>
          <w:tcPr>
            <w:tcW w:w="2551" w:type="dxa"/>
            <w:vAlign w:val="center"/>
          </w:tcPr>
          <w:p>
            <w:pPr>
              <w:pStyle w:val="14"/>
            </w:pPr>
            <w:r>
              <w:t>≥80%</w:t>
            </w:r>
          </w:p>
        </w:tc>
        <w:tc>
          <w:tcPr>
            <w:tcW w:w="2268" w:type="dxa"/>
            <w:vAlign w:val="center"/>
          </w:tcPr>
          <w:p>
            <w:pPr>
              <w:pStyle w:val="14"/>
            </w:pPr>
            <w:r>
              <w:t>电力设施安全检查报告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服务对象满意度</w:t>
            </w:r>
          </w:p>
        </w:tc>
        <w:tc>
          <w:tcPr>
            <w:tcW w:w="2835" w:type="dxa"/>
            <w:vAlign w:val="center"/>
          </w:tcPr>
          <w:p>
            <w:pPr>
              <w:pStyle w:val="14"/>
            </w:pPr>
            <w:r>
              <w:t>对出具报告的满意度</w:t>
            </w:r>
          </w:p>
        </w:tc>
        <w:tc>
          <w:tcPr>
            <w:tcW w:w="2551" w:type="dxa"/>
            <w:vAlign w:val="center"/>
          </w:tcPr>
          <w:p>
            <w:pPr>
              <w:pStyle w:val="14"/>
            </w:pPr>
            <w:r>
              <w:t>≥95%</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9、付日贷本息资金绩效目标表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1.按照还款通知及时偿日贷本息债务，保障不出现债务纠纷问题。</w:t>
            </w:r>
          </w:p>
          <w:p>
            <w:pPr>
              <w:pStyle w:val="14"/>
            </w:pPr>
            <w:r>
              <w:t>2.及时偿日贷本息债务，保障不出现债务纠纷问题。</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日贷还本付息</w:t>
            </w:r>
          </w:p>
        </w:tc>
        <w:tc>
          <w:tcPr>
            <w:tcW w:w="2835" w:type="dxa"/>
            <w:vAlign w:val="center"/>
          </w:tcPr>
          <w:p>
            <w:pPr>
              <w:pStyle w:val="14"/>
            </w:pPr>
            <w:r>
              <w:t>河北省经济信息中心下发的还款通知和各项通知和各项目单位日元贷款分年度还本付息表</w:t>
            </w:r>
          </w:p>
        </w:tc>
        <w:tc>
          <w:tcPr>
            <w:tcW w:w="2551" w:type="dxa"/>
            <w:vAlign w:val="center"/>
          </w:tcPr>
          <w:p>
            <w:pPr>
              <w:pStyle w:val="14"/>
            </w:pPr>
            <w:r>
              <w:t>≥1次</w:t>
            </w:r>
          </w:p>
        </w:tc>
        <w:tc>
          <w:tcPr>
            <w:tcW w:w="2268" w:type="dxa"/>
            <w:vAlign w:val="center"/>
          </w:tcPr>
          <w:p>
            <w:pPr>
              <w:pStyle w:val="14"/>
            </w:pPr>
            <w:r>
              <w:t>2023年还款通知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偿还债务金额准确度</w:t>
            </w:r>
          </w:p>
        </w:tc>
        <w:tc>
          <w:tcPr>
            <w:tcW w:w="2835" w:type="dxa"/>
            <w:vAlign w:val="center"/>
          </w:tcPr>
          <w:p>
            <w:pPr>
              <w:pStyle w:val="14"/>
            </w:pPr>
            <w:r>
              <w:t>偿还债务金额准确度</w:t>
            </w:r>
          </w:p>
        </w:tc>
        <w:tc>
          <w:tcPr>
            <w:tcW w:w="2551" w:type="dxa"/>
            <w:vAlign w:val="center"/>
          </w:tcPr>
          <w:p>
            <w:pPr>
              <w:pStyle w:val="14"/>
            </w:pPr>
            <w:r>
              <w:t>100%</w:t>
            </w:r>
          </w:p>
        </w:tc>
        <w:tc>
          <w:tcPr>
            <w:tcW w:w="2268" w:type="dxa"/>
            <w:vAlign w:val="center"/>
          </w:tcPr>
          <w:p>
            <w:pPr>
              <w:pStyle w:val="14"/>
            </w:pPr>
            <w:r>
              <w:t>2023年还款通知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还款及时性</w:t>
            </w:r>
          </w:p>
        </w:tc>
        <w:tc>
          <w:tcPr>
            <w:tcW w:w="2835" w:type="dxa"/>
            <w:vAlign w:val="center"/>
          </w:tcPr>
          <w:p>
            <w:pPr>
              <w:pStyle w:val="14"/>
            </w:pPr>
            <w:r>
              <w:t>偿还贷款的及时性</w:t>
            </w:r>
          </w:p>
        </w:tc>
        <w:tc>
          <w:tcPr>
            <w:tcW w:w="2551" w:type="dxa"/>
            <w:vAlign w:val="center"/>
          </w:tcPr>
          <w:p>
            <w:pPr>
              <w:pStyle w:val="14"/>
            </w:pPr>
            <w:r>
              <w:t>及时</w:t>
            </w:r>
          </w:p>
        </w:tc>
        <w:tc>
          <w:tcPr>
            <w:tcW w:w="2268" w:type="dxa"/>
            <w:vAlign w:val="center"/>
          </w:tcPr>
          <w:p>
            <w:pPr>
              <w:pStyle w:val="14"/>
            </w:pPr>
            <w:r>
              <w:t>还款日期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控制还款额</w:t>
            </w:r>
          </w:p>
        </w:tc>
        <w:tc>
          <w:tcPr>
            <w:tcW w:w="2835" w:type="dxa"/>
            <w:vAlign w:val="center"/>
          </w:tcPr>
          <w:p>
            <w:pPr>
              <w:pStyle w:val="14"/>
            </w:pPr>
            <w:r>
              <w:t>控制日贷还款金额</w:t>
            </w:r>
          </w:p>
        </w:tc>
        <w:tc>
          <w:tcPr>
            <w:tcW w:w="2551" w:type="dxa"/>
            <w:vAlign w:val="center"/>
          </w:tcPr>
          <w:p>
            <w:pPr>
              <w:pStyle w:val="14"/>
            </w:pPr>
            <w:r>
              <w:t>23.45万元</w:t>
            </w:r>
          </w:p>
        </w:tc>
        <w:tc>
          <w:tcPr>
            <w:tcW w:w="2268" w:type="dxa"/>
            <w:vAlign w:val="center"/>
          </w:tcPr>
          <w:p>
            <w:pPr>
              <w:pStyle w:val="14"/>
            </w:pPr>
            <w: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债务纠纷和不良影响事件发生情况</w:t>
            </w:r>
          </w:p>
        </w:tc>
        <w:tc>
          <w:tcPr>
            <w:tcW w:w="2835" w:type="dxa"/>
            <w:vAlign w:val="center"/>
          </w:tcPr>
          <w:p>
            <w:pPr>
              <w:pStyle w:val="14"/>
            </w:pPr>
            <w:r>
              <w:t>及时还款保障不出现债务纠纷问题，不造成社会不良影响</w:t>
            </w:r>
          </w:p>
        </w:tc>
        <w:tc>
          <w:tcPr>
            <w:tcW w:w="2551" w:type="dxa"/>
            <w:vAlign w:val="center"/>
          </w:tcPr>
          <w:p>
            <w:pPr>
              <w:pStyle w:val="14"/>
            </w:pPr>
            <w:r>
              <w:t>保障</w:t>
            </w:r>
          </w:p>
        </w:tc>
        <w:tc>
          <w:tcPr>
            <w:tcW w:w="2268" w:type="dxa"/>
            <w:vAlign w:val="center"/>
          </w:tcPr>
          <w:p>
            <w:pPr>
              <w:pStyle w:val="14"/>
            </w:pPr>
            <w: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单位满意度</w:t>
            </w:r>
          </w:p>
        </w:tc>
        <w:tc>
          <w:tcPr>
            <w:tcW w:w="2835" w:type="dxa"/>
            <w:vAlign w:val="center"/>
          </w:tcPr>
          <w:p>
            <w:pPr>
              <w:pStyle w:val="14"/>
            </w:pPr>
            <w:r>
              <w:t>还款情况的满意度</w:t>
            </w:r>
          </w:p>
        </w:tc>
        <w:tc>
          <w:tcPr>
            <w:tcW w:w="2551" w:type="dxa"/>
            <w:vAlign w:val="center"/>
          </w:tcPr>
          <w:p>
            <w:pPr>
              <w:pStyle w:val="14"/>
            </w:pPr>
            <w:r>
              <w:t>≥95%</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10、救灾物资购置经费绩效目标表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1.通过项目的开展实现提升全市重大自然灾害防御能力，保证受灾群众基本生活得到及时救助，保证救灾物资安全及时有效，为重特大自然灾害救助提供有力支持。</w:t>
            </w:r>
          </w:p>
          <w:p>
            <w:pPr>
              <w:pStyle w:val="14"/>
            </w:pPr>
            <w:r>
              <w:t>2.通过项目的开展完成本年度市级救灾物资采购，保证救灾物资储备的质量安全、数量达标，为自然灾害和突发公共事件发生时的紧急救助提供物资保障。</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救灾物资储备数量达标率</w:t>
            </w:r>
          </w:p>
        </w:tc>
        <w:tc>
          <w:tcPr>
            <w:tcW w:w="2835" w:type="dxa"/>
            <w:vAlign w:val="center"/>
          </w:tcPr>
          <w:p>
            <w:pPr>
              <w:pStyle w:val="14"/>
            </w:pPr>
            <w:r>
              <w:t>按照《市自然灾害救助应急预案》三级响应标准安排储备物资</w:t>
            </w:r>
          </w:p>
        </w:tc>
        <w:tc>
          <w:tcPr>
            <w:tcW w:w="2551" w:type="dxa"/>
            <w:vAlign w:val="center"/>
          </w:tcPr>
          <w:p>
            <w:pPr>
              <w:pStyle w:val="14"/>
            </w:pPr>
            <w:r>
              <w:t>100%</w:t>
            </w:r>
          </w:p>
        </w:tc>
        <w:tc>
          <w:tcPr>
            <w:tcW w:w="2268" w:type="dxa"/>
            <w:vAlign w:val="center"/>
          </w:tcPr>
          <w:p>
            <w:pPr>
              <w:pStyle w:val="14"/>
            </w:pPr>
            <w:r>
              <w:t>《廊坊市自然灾害救助应急预案》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救灾物资质量完好率</w:t>
            </w:r>
          </w:p>
        </w:tc>
        <w:tc>
          <w:tcPr>
            <w:tcW w:w="2835" w:type="dxa"/>
            <w:vAlign w:val="center"/>
          </w:tcPr>
          <w:p>
            <w:pPr>
              <w:pStyle w:val="14"/>
            </w:pPr>
            <w:r>
              <w:t>无质量问题储备物资数量占全部储存数量的比例</w:t>
            </w:r>
          </w:p>
        </w:tc>
        <w:tc>
          <w:tcPr>
            <w:tcW w:w="2551" w:type="dxa"/>
            <w:vAlign w:val="center"/>
          </w:tcPr>
          <w:p>
            <w:pPr>
              <w:pStyle w:val="14"/>
            </w:pPr>
            <w:r>
              <w:t>100%</w:t>
            </w:r>
          </w:p>
        </w:tc>
        <w:tc>
          <w:tcPr>
            <w:tcW w:w="2268" w:type="dxa"/>
            <w:vAlign w:val="center"/>
          </w:tcPr>
          <w:p>
            <w:pPr>
              <w:pStyle w:val="14"/>
            </w:pPr>
            <w:r>
              <w:t>《救灾物资储备管理办法》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救灾物资下拨时间</w:t>
            </w:r>
          </w:p>
        </w:tc>
        <w:tc>
          <w:tcPr>
            <w:tcW w:w="2835" w:type="dxa"/>
            <w:vAlign w:val="center"/>
          </w:tcPr>
          <w:p>
            <w:pPr>
              <w:pStyle w:val="14"/>
            </w:pPr>
            <w:r>
              <w:t>按照《市自然灾害救助应急预案》三级响应，灾情发生后24小时之内下拨到灾区。</w:t>
            </w:r>
          </w:p>
        </w:tc>
        <w:tc>
          <w:tcPr>
            <w:tcW w:w="2551" w:type="dxa"/>
            <w:vAlign w:val="center"/>
          </w:tcPr>
          <w:p>
            <w:pPr>
              <w:pStyle w:val="14"/>
            </w:pPr>
            <w:r>
              <w:t>&lt;24小时</w:t>
            </w:r>
          </w:p>
        </w:tc>
        <w:tc>
          <w:tcPr>
            <w:tcW w:w="2268" w:type="dxa"/>
            <w:vAlign w:val="center"/>
          </w:tcPr>
          <w:p>
            <w:pPr>
              <w:pStyle w:val="14"/>
            </w:pPr>
            <w:r>
              <w:t>《廊坊市自然灾害救助应急预案》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成本控制额</w:t>
            </w:r>
          </w:p>
        </w:tc>
        <w:tc>
          <w:tcPr>
            <w:tcW w:w="2835" w:type="dxa"/>
            <w:vAlign w:val="center"/>
          </w:tcPr>
          <w:p>
            <w:pPr>
              <w:pStyle w:val="14"/>
            </w:pPr>
            <w:r>
              <w:t>控制储备物资费用支出</w:t>
            </w:r>
          </w:p>
        </w:tc>
        <w:tc>
          <w:tcPr>
            <w:tcW w:w="2551" w:type="dxa"/>
            <w:vAlign w:val="center"/>
          </w:tcPr>
          <w:p>
            <w:pPr>
              <w:pStyle w:val="14"/>
            </w:pPr>
            <w:r>
              <w:t>≤150万元</w:t>
            </w:r>
          </w:p>
        </w:tc>
        <w:tc>
          <w:tcPr>
            <w:tcW w:w="2268" w:type="dxa"/>
            <w:vAlign w:val="center"/>
          </w:tcPr>
          <w:p>
            <w:pPr>
              <w:pStyle w:val="14"/>
            </w:pPr>
            <w: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紧急救助社会达标率</w:t>
            </w:r>
          </w:p>
        </w:tc>
        <w:tc>
          <w:tcPr>
            <w:tcW w:w="2835" w:type="dxa"/>
            <w:vAlign w:val="center"/>
          </w:tcPr>
          <w:p>
            <w:pPr>
              <w:pStyle w:val="14"/>
            </w:pPr>
            <w:r>
              <w:t>救灾物资下拨及时、物资质量、数量达标。</w:t>
            </w:r>
          </w:p>
        </w:tc>
        <w:tc>
          <w:tcPr>
            <w:tcW w:w="2551" w:type="dxa"/>
            <w:vAlign w:val="center"/>
          </w:tcPr>
          <w:p>
            <w:pPr>
              <w:pStyle w:val="14"/>
            </w:pPr>
            <w:r>
              <w:t>≥95%</w:t>
            </w:r>
          </w:p>
        </w:tc>
        <w:tc>
          <w:tcPr>
            <w:tcW w:w="2268" w:type="dxa"/>
            <w:vAlign w:val="center"/>
          </w:tcPr>
          <w:p>
            <w:pPr>
              <w:pStyle w:val="14"/>
            </w:pPr>
            <w:r>
              <w:t>《廊坊市自然灾害救助应急预案》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主管部门满意度</w:t>
            </w:r>
          </w:p>
        </w:tc>
        <w:tc>
          <w:tcPr>
            <w:tcW w:w="2835" w:type="dxa"/>
            <w:vAlign w:val="center"/>
          </w:tcPr>
          <w:p>
            <w:pPr>
              <w:pStyle w:val="14"/>
            </w:pPr>
            <w:r>
              <w:t>主管部门对救灾物资的下拨时间、质量的满意度</w:t>
            </w:r>
          </w:p>
        </w:tc>
        <w:tc>
          <w:tcPr>
            <w:tcW w:w="2551" w:type="dxa"/>
            <w:vAlign w:val="center"/>
          </w:tcPr>
          <w:p>
            <w:pPr>
              <w:pStyle w:val="14"/>
            </w:pPr>
            <w:r>
              <w:t>≥90%</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11、廊坊市粮油质量检验监测工作运行保障经费绩效目标表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1.通过项目的开展做好粮食质量安全检验检测工作，为廊坊市粮食质量安全监督检测工作提供数据依据，满足人民群众对食品安全的需求，确保不发生重大粮食质量安全事故。</w:t>
            </w:r>
          </w:p>
          <w:p>
            <w:pPr>
              <w:pStyle w:val="14"/>
            </w:pPr>
            <w:r>
              <w:t>2.廊坊市粮油质量安全监测工作，拟定检验检测样品数350个。为廊坊市粮食质量安全监督检测工作提供数据依据，提高粮食品质量合格率。</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粮食检测数量</w:t>
            </w:r>
          </w:p>
        </w:tc>
        <w:tc>
          <w:tcPr>
            <w:tcW w:w="2835" w:type="dxa"/>
            <w:vAlign w:val="center"/>
          </w:tcPr>
          <w:p>
            <w:pPr>
              <w:pStyle w:val="14"/>
            </w:pPr>
            <w:r>
              <w:t>检测小麦、玉米总计数量</w:t>
            </w:r>
          </w:p>
        </w:tc>
        <w:tc>
          <w:tcPr>
            <w:tcW w:w="2551" w:type="dxa"/>
            <w:vAlign w:val="center"/>
          </w:tcPr>
          <w:p>
            <w:pPr>
              <w:pStyle w:val="14"/>
            </w:pPr>
            <w:r>
              <w:t>≥200个</w:t>
            </w:r>
          </w:p>
        </w:tc>
        <w:tc>
          <w:tcPr>
            <w:tcW w:w="2268" w:type="dxa"/>
            <w:vAlign w:val="center"/>
          </w:tcPr>
          <w:p>
            <w:pPr>
              <w:pStyle w:val="14"/>
            </w:pPr>
            <w:r>
              <w:t>检测数据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完成工作任务</w:t>
            </w:r>
          </w:p>
        </w:tc>
        <w:tc>
          <w:tcPr>
            <w:tcW w:w="2835" w:type="dxa"/>
            <w:vAlign w:val="center"/>
          </w:tcPr>
          <w:p>
            <w:pPr>
              <w:pStyle w:val="14"/>
            </w:pPr>
            <w:r>
              <w:t>保质保量完成检测工作</w:t>
            </w:r>
          </w:p>
        </w:tc>
        <w:tc>
          <w:tcPr>
            <w:tcW w:w="2551" w:type="dxa"/>
            <w:vAlign w:val="center"/>
          </w:tcPr>
          <w:p>
            <w:pPr>
              <w:pStyle w:val="14"/>
            </w:pPr>
            <w:r>
              <w:t>100%</w:t>
            </w:r>
          </w:p>
        </w:tc>
        <w:tc>
          <w:tcPr>
            <w:tcW w:w="2268" w:type="dxa"/>
            <w:vAlign w:val="center"/>
          </w:tcPr>
          <w:p>
            <w:pPr>
              <w:pStyle w:val="14"/>
            </w:pPr>
            <w:r>
              <w:t>依据省、市下达检测任务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完成及时性</w:t>
            </w:r>
          </w:p>
        </w:tc>
        <w:tc>
          <w:tcPr>
            <w:tcW w:w="2835" w:type="dxa"/>
            <w:vAlign w:val="center"/>
          </w:tcPr>
          <w:p>
            <w:pPr>
              <w:pStyle w:val="14"/>
            </w:pPr>
            <w:r>
              <w:t>按省、市下达的工作任务及时完成</w:t>
            </w:r>
          </w:p>
        </w:tc>
        <w:tc>
          <w:tcPr>
            <w:tcW w:w="2551" w:type="dxa"/>
            <w:vAlign w:val="center"/>
          </w:tcPr>
          <w:p>
            <w:pPr>
              <w:pStyle w:val="14"/>
            </w:pPr>
            <w:r>
              <w:t>及时</w:t>
            </w:r>
          </w:p>
        </w:tc>
        <w:tc>
          <w:tcPr>
            <w:tcW w:w="2268" w:type="dxa"/>
            <w:vAlign w:val="center"/>
          </w:tcPr>
          <w:p>
            <w:pPr>
              <w:pStyle w:val="14"/>
            </w:pPr>
            <w:r>
              <w:t>依据省、市下达检测任务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成本控制额</w:t>
            </w:r>
          </w:p>
        </w:tc>
        <w:tc>
          <w:tcPr>
            <w:tcW w:w="2835" w:type="dxa"/>
            <w:vAlign w:val="center"/>
          </w:tcPr>
          <w:p>
            <w:pPr>
              <w:pStyle w:val="14"/>
            </w:pPr>
            <w:r>
              <w:t>第三方服务编制检验监测体系规范制度和申请CMA资质评定</w:t>
            </w:r>
          </w:p>
        </w:tc>
        <w:tc>
          <w:tcPr>
            <w:tcW w:w="2551" w:type="dxa"/>
            <w:vAlign w:val="center"/>
          </w:tcPr>
          <w:p>
            <w:pPr>
              <w:pStyle w:val="14"/>
            </w:pPr>
            <w:r>
              <w:t>≤8万元</w:t>
            </w:r>
          </w:p>
        </w:tc>
        <w:tc>
          <w:tcPr>
            <w:tcW w:w="2268" w:type="dxa"/>
            <w:vAlign w:val="center"/>
          </w:tcPr>
          <w:p>
            <w:pPr>
              <w:pStyle w:val="14"/>
            </w:pPr>
            <w:r>
              <w:t>财政支出凭证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预防粮食安全事故</w:t>
            </w:r>
          </w:p>
        </w:tc>
        <w:tc>
          <w:tcPr>
            <w:tcW w:w="2835" w:type="dxa"/>
            <w:vAlign w:val="center"/>
          </w:tcPr>
          <w:p>
            <w:pPr>
              <w:pStyle w:val="14"/>
            </w:pPr>
            <w:r>
              <w:t>预防重大粮食安全事故发生</w:t>
            </w:r>
          </w:p>
        </w:tc>
        <w:tc>
          <w:tcPr>
            <w:tcW w:w="2551" w:type="dxa"/>
            <w:vAlign w:val="center"/>
          </w:tcPr>
          <w:p>
            <w:pPr>
              <w:pStyle w:val="14"/>
            </w:pPr>
            <w:r>
              <w:t>预防</w:t>
            </w:r>
          </w:p>
        </w:tc>
        <w:tc>
          <w:tcPr>
            <w:tcW w:w="2268" w:type="dxa"/>
            <w:vAlign w:val="center"/>
          </w:tcPr>
          <w:p>
            <w:pPr>
              <w:pStyle w:val="14"/>
            </w:pPr>
            <w: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相关部门的满意度</w:t>
            </w:r>
          </w:p>
        </w:tc>
        <w:tc>
          <w:tcPr>
            <w:tcW w:w="2835" w:type="dxa"/>
            <w:vAlign w:val="center"/>
          </w:tcPr>
          <w:p>
            <w:pPr>
              <w:pStyle w:val="14"/>
            </w:pPr>
            <w:r>
              <w:t>相关部门对检测服务的满意度</w:t>
            </w:r>
          </w:p>
        </w:tc>
        <w:tc>
          <w:tcPr>
            <w:tcW w:w="2551" w:type="dxa"/>
            <w:vAlign w:val="center"/>
          </w:tcPr>
          <w:p>
            <w:pPr>
              <w:pStyle w:val="14"/>
            </w:pPr>
            <w:r>
              <w:t>≥95%</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12、廊坊市粮油质量检验中心实验室建设工程项目资金绩效目标表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1.按照廊坊市粮油质量检测中心实验室建设工程项目竣工审计报告金额和合同约定支付工程项目余款和监理费，不发生债务纠纷事件。</w:t>
            </w:r>
          </w:p>
          <w:p>
            <w:pPr>
              <w:pStyle w:val="14"/>
            </w:pPr>
            <w:r>
              <w:t>2.按照廊坊市粮油质量检测中心实验室建设工程项目竣工审计报告金额和合同约定支付工程项目余款和监理费，不发生债务纠纷事件。</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合同数量</w:t>
            </w:r>
          </w:p>
        </w:tc>
        <w:tc>
          <w:tcPr>
            <w:tcW w:w="2835" w:type="dxa"/>
            <w:vAlign w:val="center"/>
          </w:tcPr>
          <w:p>
            <w:pPr>
              <w:pStyle w:val="14"/>
            </w:pPr>
            <w:r>
              <w:t>实验室建设工程合同及工程监理合同等</w:t>
            </w:r>
          </w:p>
        </w:tc>
        <w:tc>
          <w:tcPr>
            <w:tcW w:w="2551" w:type="dxa"/>
            <w:vAlign w:val="center"/>
          </w:tcPr>
          <w:p>
            <w:pPr>
              <w:pStyle w:val="14"/>
            </w:pPr>
            <w:r>
              <w:t>2个</w:t>
            </w:r>
          </w:p>
        </w:tc>
        <w:tc>
          <w:tcPr>
            <w:tcW w:w="2268" w:type="dxa"/>
            <w:vAlign w:val="center"/>
          </w:tcPr>
          <w:p>
            <w:pPr>
              <w:pStyle w:val="14"/>
            </w:pPr>
            <w:r>
              <w:t>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拨付资金准确率</w:t>
            </w:r>
          </w:p>
        </w:tc>
        <w:tc>
          <w:tcPr>
            <w:tcW w:w="2835" w:type="dxa"/>
            <w:vAlign w:val="center"/>
          </w:tcPr>
          <w:p>
            <w:pPr>
              <w:pStyle w:val="14"/>
            </w:pPr>
            <w:r>
              <w:t>按合同要求拨付资金准确率</w:t>
            </w:r>
          </w:p>
        </w:tc>
        <w:tc>
          <w:tcPr>
            <w:tcW w:w="2551" w:type="dxa"/>
            <w:vAlign w:val="center"/>
          </w:tcPr>
          <w:p>
            <w:pPr>
              <w:pStyle w:val="14"/>
            </w:pPr>
            <w:r>
              <w:t>100%</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资金拨付及时</w:t>
            </w:r>
          </w:p>
        </w:tc>
        <w:tc>
          <w:tcPr>
            <w:tcW w:w="2835" w:type="dxa"/>
            <w:vAlign w:val="center"/>
          </w:tcPr>
          <w:p>
            <w:pPr>
              <w:pStyle w:val="14"/>
            </w:pPr>
            <w:r>
              <w:t>资金到位后1个月内</w:t>
            </w:r>
          </w:p>
        </w:tc>
        <w:tc>
          <w:tcPr>
            <w:tcW w:w="2551" w:type="dxa"/>
            <w:vAlign w:val="center"/>
          </w:tcPr>
          <w:p>
            <w:pPr>
              <w:pStyle w:val="14"/>
            </w:pPr>
            <w:r>
              <w:t>≤1月</w:t>
            </w:r>
          </w:p>
        </w:tc>
        <w:tc>
          <w:tcPr>
            <w:tcW w:w="2268" w:type="dxa"/>
            <w:vAlign w:val="center"/>
          </w:tcPr>
          <w:p>
            <w:pPr>
              <w:pStyle w:val="14"/>
            </w:pPr>
            <w:r>
              <w:t>财政支出凭证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成本控制额</w:t>
            </w:r>
          </w:p>
        </w:tc>
        <w:tc>
          <w:tcPr>
            <w:tcW w:w="2835" w:type="dxa"/>
            <w:vAlign w:val="center"/>
          </w:tcPr>
          <w:p>
            <w:pPr>
              <w:pStyle w:val="14"/>
            </w:pPr>
            <w:r>
              <w:t>支出成本控制在预算范围内</w:t>
            </w:r>
          </w:p>
        </w:tc>
        <w:tc>
          <w:tcPr>
            <w:tcW w:w="2551" w:type="dxa"/>
            <w:vAlign w:val="center"/>
          </w:tcPr>
          <w:p>
            <w:pPr>
              <w:pStyle w:val="14"/>
            </w:pPr>
            <w:r>
              <w:t>≤131.74万元</w:t>
            </w:r>
          </w:p>
        </w:tc>
        <w:tc>
          <w:tcPr>
            <w:tcW w:w="2268" w:type="dxa"/>
            <w:vAlign w:val="center"/>
          </w:tcPr>
          <w:p>
            <w:pPr>
              <w:pStyle w:val="14"/>
            </w:pPr>
            <w:r>
              <w:t>财政支出凭证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避免债务纠分造成社会影响</w:t>
            </w:r>
          </w:p>
        </w:tc>
        <w:tc>
          <w:tcPr>
            <w:tcW w:w="2835" w:type="dxa"/>
            <w:vAlign w:val="center"/>
          </w:tcPr>
          <w:p>
            <w:pPr>
              <w:pStyle w:val="14"/>
            </w:pPr>
            <w:r>
              <w:t>不产生债务纠分，造成社会影响</w:t>
            </w:r>
          </w:p>
        </w:tc>
        <w:tc>
          <w:tcPr>
            <w:tcW w:w="2551" w:type="dxa"/>
            <w:vAlign w:val="center"/>
          </w:tcPr>
          <w:p>
            <w:pPr>
              <w:pStyle w:val="14"/>
            </w:pPr>
            <w:r>
              <w:t>避免</w:t>
            </w:r>
          </w:p>
        </w:tc>
        <w:tc>
          <w:tcPr>
            <w:tcW w:w="2268" w:type="dxa"/>
            <w:vAlign w:val="center"/>
          </w:tcPr>
          <w:p>
            <w:pPr>
              <w:pStyle w:val="14"/>
            </w:pPr>
            <w: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相关部门的满意度</w:t>
            </w:r>
          </w:p>
        </w:tc>
        <w:tc>
          <w:tcPr>
            <w:tcW w:w="2835" w:type="dxa"/>
            <w:vAlign w:val="center"/>
          </w:tcPr>
          <w:p>
            <w:pPr>
              <w:pStyle w:val="14"/>
            </w:pPr>
            <w:r>
              <w:t>相关部门对该项工作的满意度</w:t>
            </w:r>
          </w:p>
        </w:tc>
        <w:tc>
          <w:tcPr>
            <w:tcW w:w="2551" w:type="dxa"/>
            <w:vAlign w:val="center"/>
          </w:tcPr>
          <w:p>
            <w:pPr>
              <w:pStyle w:val="14"/>
            </w:pPr>
            <w:r>
              <w:t>≥90%</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13、廊坊市人民政府网运行维护经费绩效目标表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1.保障廊坊市人民政府网、发改委网、政府信息公开平台、廊坊市人民政府网邮件系统正常运转、网络安全得到基本保障，市直各局网站得到有效监测。</w:t>
            </w:r>
          </w:p>
          <w:p>
            <w:pPr>
              <w:pStyle w:val="14"/>
            </w:pPr>
            <w:r>
              <w:t>2.保障廊坊市人民政府网、发改委网、政府信息公开平台、廊坊市人民政府网邮件系统安全有效运行，年度内不发生安全事故；市直各局网站得到有效监测。</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廊坊市政府门户网站</w:t>
            </w:r>
          </w:p>
        </w:tc>
        <w:tc>
          <w:tcPr>
            <w:tcW w:w="2835" w:type="dxa"/>
            <w:vAlign w:val="center"/>
          </w:tcPr>
          <w:p>
            <w:pPr>
              <w:pStyle w:val="14"/>
            </w:pPr>
            <w:r>
              <w:t>廊坊市政府门户网站运行</w:t>
            </w:r>
          </w:p>
        </w:tc>
        <w:tc>
          <w:tcPr>
            <w:tcW w:w="2551" w:type="dxa"/>
            <w:vAlign w:val="center"/>
          </w:tcPr>
          <w:p>
            <w:pPr>
              <w:pStyle w:val="14"/>
            </w:pPr>
            <w:r>
              <w:t>1个</w:t>
            </w:r>
          </w:p>
        </w:tc>
        <w:tc>
          <w:tcPr>
            <w:tcW w:w="2268" w:type="dxa"/>
            <w:vAlign w:val="center"/>
          </w:tcPr>
          <w:p>
            <w:pPr>
              <w:pStyle w:val="14"/>
            </w:pPr>
            <w:r>
              <w:t>依据合同、协议等</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合格</w:t>
            </w:r>
          </w:p>
        </w:tc>
        <w:tc>
          <w:tcPr>
            <w:tcW w:w="2835" w:type="dxa"/>
            <w:vAlign w:val="center"/>
          </w:tcPr>
          <w:p>
            <w:pPr>
              <w:pStyle w:val="14"/>
            </w:pPr>
            <w:r>
              <w:t>年度运行维护数量是否全部完成且合格</w:t>
            </w:r>
          </w:p>
        </w:tc>
        <w:tc>
          <w:tcPr>
            <w:tcW w:w="2551" w:type="dxa"/>
            <w:vAlign w:val="center"/>
          </w:tcPr>
          <w:p>
            <w:pPr>
              <w:pStyle w:val="14"/>
            </w:pPr>
            <w:r>
              <w:t>100%</w:t>
            </w:r>
          </w:p>
        </w:tc>
        <w:tc>
          <w:tcPr>
            <w:tcW w:w="2268" w:type="dxa"/>
            <w:vAlign w:val="center"/>
          </w:tcPr>
          <w:p>
            <w:pPr>
              <w:pStyle w:val="14"/>
            </w:pPr>
            <w:r>
              <w:t>项目管理办法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政务信息发布及时性</w:t>
            </w:r>
          </w:p>
        </w:tc>
        <w:tc>
          <w:tcPr>
            <w:tcW w:w="2835" w:type="dxa"/>
            <w:vAlign w:val="center"/>
          </w:tcPr>
          <w:p>
            <w:pPr>
              <w:pStyle w:val="14"/>
            </w:pPr>
            <w:r>
              <w:t>年度运行维护数量是否全部按时完成</w:t>
            </w:r>
          </w:p>
        </w:tc>
        <w:tc>
          <w:tcPr>
            <w:tcW w:w="2551" w:type="dxa"/>
            <w:vAlign w:val="center"/>
          </w:tcPr>
          <w:p>
            <w:pPr>
              <w:pStyle w:val="14"/>
            </w:pPr>
            <w:r>
              <w:t>100%</w:t>
            </w:r>
          </w:p>
        </w:tc>
        <w:tc>
          <w:tcPr>
            <w:tcW w:w="2268" w:type="dxa"/>
            <w:vAlign w:val="center"/>
          </w:tcPr>
          <w:p>
            <w:pPr>
              <w:pStyle w:val="14"/>
            </w:pPr>
            <w:r>
              <w:t>年度运行维护需求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申请预算总额</w:t>
            </w:r>
          </w:p>
        </w:tc>
        <w:tc>
          <w:tcPr>
            <w:tcW w:w="2835" w:type="dxa"/>
            <w:vAlign w:val="center"/>
          </w:tcPr>
          <w:p>
            <w:pPr>
              <w:pStyle w:val="14"/>
            </w:pPr>
            <w:r>
              <w:t>部按要求完成且低于预算总额</w:t>
            </w:r>
          </w:p>
        </w:tc>
        <w:tc>
          <w:tcPr>
            <w:tcW w:w="2551" w:type="dxa"/>
            <w:vAlign w:val="center"/>
          </w:tcPr>
          <w:p>
            <w:pPr>
              <w:pStyle w:val="14"/>
            </w:pPr>
            <w:r>
              <w:t>≤80万元</w:t>
            </w:r>
          </w:p>
        </w:tc>
        <w:tc>
          <w:tcPr>
            <w:tcW w:w="2268" w:type="dxa"/>
            <w:vAlign w:val="center"/>
          </w:tcPr>
          <w:p>
            <w:pPr>
              <w:pStyle w:val="14"/>
            </w:pPr>
            <w:r>
              <w:t>预算文本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保障廊坊市人民政府网安全有效运行</w:t>
            </w:r>
          </w:p>
        </w:tc>
        <w:tc>
          <w:tcPr>
            <w:tcW w:w="2835" w:type="dxa"/>
            <w:vAlign w:val="center"/>
          </w:tcPr>
          <w:p>
            <w:pPr>
              <w:pStyle w:val="14"/>
            </w:pPr>
            <w:r>
              <w:t>保障廊坊市人民政府网安全有效运行</w:t>
            </w:r>
          </w:p>
        </w:tc>
        <w:tc>
          <w:tcPr>
            <w:tcW w:w="2551" w:type="dxa"/>
            <w:vAlign w:val="center"/>
          </w:tcPr>
          <w:p>
            <w:pPr>
              <w:pStyle w:val="14"/>
            </w:pPr>
            <w:r>
              <w:t>≤365天</w:t>
            </w:r>
          </w:p>
        </w:tc>
        <w:tc>
          <w:tcPr>
            <w:tcW w:w="2268" w:type="dxa"/>
            <w:vAlign w:val="center"/>
          </w:tcPr>
          <w:p>
            <w:pPr>
              <w:pStyle w:val="14"/>
            </w:pPr>
            <w: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可持续影响指标</w:t>
            </w:r>
          </w:p>
        </w:tc>
        <w:tc>
          <w:tcPr>
            <w:tcW w:w="2835" w:type="dxa"/>
            <w:vAlign w:val="center"/>
          </w:tcPr>
          <w:p>
            <w:pPr>
              <w:pStyle w:val="14"/>
            </w:pPr>
            <w:r>
              <w:t>网站安全有效运行</w:t>
            </w:r>
          </w:p>
        </w:tc>
        <w:tc>
          <w:tcPr>
            <w:tcW w:w="2835" w:type="dxa"/>
            <w:vAlign w:val="center"/>
          </w:tcPr>
          <w:p>
            <w:pPr>
              <w:pStyle w:val="14"/>
            </w:pPr>
            <w:r>
              <w:t>网站安全有效运行</w:t>
            </w:r>
          </w:p>
        </w:tc>
        <w:tc>
          <w:tcPr>
            <w:tcW w:w="2551" w:type="dxa"/>
            <w:vAlign w:val="center"/>
          </w:tcPr>
          <w:p>
            <w:pPr>
              <w:pStyle w:val="14"/>
            </w:pPr>
            <w:r>
              <w:t>≤365天</w:t>
            </w:r>
          </w:p>
        </w:tc>
        <w:tc>
          <w:tcPr>
            <w:tcW w:w="2268" w:type="dxa"/>
            <w:vAlign w:val="center"/>
          </w:tcPr>
          <w:p>
            <w:pPr>
              <w:pStyle w:val="14"/>
            </w:pPr>
            <w: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公众满意度</w:t>
            </w:r>
          </w:p>
        </w:tc>
        <w:tc>
          <w:tcPr>
            <w:tcW w:w="2835" w:type="dxa"/>
            <w:vAlign w:val="center"/>
          </w:tcPr>
          <w:p>
            <w:pPr>
              <w:pStyle w:val="14"/>
            </w:pPr>
            <w:r>
              <w:t>公众对廊坊市政府门户网站的满衣服</w:t>
            </w:r>
          </w:p>
        </w:tc>
        <w:tc>
          <w:tcPr>
            <w:tcW w:w="2551" w:type="dxa"/>
            <w:vAlign w:val="center"/>
          </w:tcPr>
          <w:p>
            <w:pPr>
              <w:pStyle w:val="14"/>
            </w:pPr>
            <w:r>
              <w:t>≥95%</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14、廊坊市新冠肺炎疫情闭环管理经费绩效目标表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1.为积极应对新冠肺炎疫情，为做好我市疫情防控工作确保我市集中隔离医学观察点正常运行。</w:t>
            </w:r>
          </w:p>
          <w:p>
            <w:pPr>
              <w:pStyle w:val="14"/>
            </w:pPr>
            <w:r>
              <w:t>2.科学防治，精准施策，切实提高疫情防控的科学性，建立集中隔离医学观察点，为做好市秋冬疫情防控工作正常运行。</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闭环管理点数量</w:t>
            </w:r>
          </w:p>
        </w:tc>
        <w:tc>
          <w:tcPr>
            <w:tcW w:w="2835" w:type="dxa"/>
            <w:vAlign w:val="center"/>
          </w:tcPr>
          <w:p>
            <w:pPr>
              <w:pStyle w:val="14"/>
            </w:pPr>
            <w:r>
              <w:t>隔离观察点数量</w:t>
            </w:r>
          </w:p>
        </w:tc>
        <w:tc>
          <w:tcPr>
            <w:tcW w:w="2551" w:type="dxa"/>
            <w:vAlign w:val="center"/>
          </w:tcPr>
          <w:p>
            <w:pPr>
              <w:pStyle w:val="14"/>
            </w:pPr>
            <w:r>
              <w:t>≥1个</w:t>
            </w:r>
          </w:p>
        </w:tc>
        <w:tc>
          <w:tcPr>
            <w:tcW w:w="2268" w:type="dxa"/>
            <w:vAlign w:val="center"/>
          </w:tcPr>
          <w:p>
            <w:pPr>
              <w:pStyle w:val="14"/>
            </w:pPr>
            <w:r>
              <w:t>拨付申请资料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下发资金准确率</w:t>
            </w:r>
          </w:p>
        </w:tc>
        <w:tc>
          <w:tcPr>
            <w:tcW w:w="2835" w:type="dxa"/>
            <w:vAlign w:val="center"/>
          </w:tcPr>
          <w:p>
            <w:pPr>
              <w:pStyle w:val="14"/>
            </w:pPr>
            <w:r>
              <w:t>下发资金准确率</w:t>
            </w:r>
          </w:p>
        </w:tc>
        <w:tc>
          <w:tcPr>
            <w:tcW w:w="2551" w:type="dxa"/>
            <w:vAlign w:val="center"/>
          </w:tcPr>
          <w:p>
            <w:pPr>
              <w:pStyle w:val="14"/>
            </w:pPr>
            <w:r>
              <w:t>100%</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及时性</w:t>
            </w:r>
          </w:p>
        </w:tc>
        <w:tc>
          <w:tcPr>
            <w:tcW w:w="2835" w:type="dxa"/>
            <w:vAlign w:val="center"/>
          </w:tcPr>
          <w:p>
            <w:pPr>
              <w:pStyle w:val="14"/>
            </w:pPr>
            <w:r>
              <w:t>资金拨付及时性</w:t>
            </w:r>
          </w:p>
        </w:tc>
        <w:tc>
          <w:tcPr>
            <w:tcW w:w="2551" w:type="dxa"/>
            <w:vAlign w:val="center"/>
          </w:tcPr>
          <w:p>
            <w:pPr>
              <w:pStyle w:val="14"/>
            </w:pPr>
            <w:r>
              <w:t>及时</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成本有效性</w:t>
            </w:r>
          </w:p>
        </w:tc>
        <w:tc>
          <w:tcPr>
            <w:tcW w:w="2835" w:type="dxa"/>
            <w:vAlign w:val="center"/>
          </w:tcPr>
          <w:p>
            <w:pPr>
              <w:pStyle w:val="14"/>
            </w:pPr>
            <w:r>
              <w:t>按预算金额拨付</w:t>
            </w:r>
          </w:p>
        </w:tc>
        <w:tc>
          <w:tcPr>
            <w:tcW w:w="2551" w:type="dxa"/>
            <w:vAlign w:val="center"/>
          </w:tcPr>
          <w:p>
            <w:pPr>
              <w:pStyle w:val="14"/>
            </w:pPr>
            <w:r>
              <w:t>≤80万元</w:t>
            </w:r>
          </w:p>
        </w:tc>
        <w:tc>
          <w:tcPr>
            <w:tcW w:w="2268" w:type="dxa"/>
            <w:vAlign w:val="center"/>
          </w:tcPr>
          <w:p>
            <w:pPr>
              <w:pStyle w:val="14"/>
            </w:pPr>
            <w:r>
              <w:t>预算文本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保障观察点疫情防控</w:t>
            </w:r>
          </w:p>
        </w:tc>
        <w:tc>
          <w:tcPr>
            <w:tcW w:w="2835" w:type="dxa"/>
            <w:vAlign w:val="center"/>
          </w:tcPr>
          <w:p>
            <w:pPr>
              <w:pStyle w:val="14"/>
            </w:pPr>
            <w:r>
              <w:t>保障隔离医学观察点疫情防控</w:t>
            </w:r>
          </w:p>
        </w:tc>
        <w:tc>
          <w:tcPr>
            <w:tcW w:w="2551" w:type="dxa"/>
            <w:vAlign w:val="center"/>
          </w:tcPr>
          <w:p>
            <w:pPr>
              <w:pStyle w:val="14"/>
            </w:pPr>
            <w:r>
              <w:t>保障</w:t>
            </w:r>
          </w:p>
        </w:tc>
        <w:tc>
          <w:tcPr>
            <w:tcW w:w="2268" w:type="dxa"/>
            <w:vAlign w:val="center"/>
          </w:tcPr>
          <w:p>
            <w:pPr>
              <w:pStyle w:val="14"/>
            </w:pPr>
            <w: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单位满意度</w:t>
            </w:r>
          </w:p>
        </w:tc>
        <w:tc>
          <w:tcPr>
            <w:tcW w:w="2835" w:type="dxa"/>
            <w:vAlign w:val="center"/>
          </w:tcPr>
          <w:p>
            <w:pPr>
              <w:pStyle w:val="14"/>
            </w:pPr>
            <w:r>
              <w:t>隔离医学观察点对资金拨付及时的满意度</w:t>
            </w:r>
          </w:p>
        </w:tc>
        <w:tc>
          <w:tcPr>
            <w:tcW w:w="2551" w:type="dxa"/>
            <w:vAlign w:val="center"/>
          </w:tcPr>
          <w:p>
            <w:pPr>
              <w:pStyle w:val="14"/>
            </w:pPr>
            <w:r>
              <w:t>≥90%</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15、廊坊市优化营商环境工作经费绩效目标表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1.通过项目的开展实现持续深入优化我市营商环境，营造公平、透明、可预期的营商环境，激发市场活力和社会创造力，切实为市场主体、社会民众提供优质高效服务。</w:t>
            </w:r>
          </w:p>
          <w:p>
            <w:pPr>
              <w:pStyle w:val="14"/>
            </w:pPr>
            <w:r>
              <w:t>2.通过项目的开展贯彻落实国家、省、市优化营商环境工作的决策部署，聚焦企业和民众办事的痛点、难点、堵点问题，出狠招、实招，对标国内先进城市，深入查摆问题，并出台具体措施和相应工作方案。</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培训会人数</w:t>
            </w:r>
          </w:p>
        </w:tc>
        <w:tc>
          <w:tcPr>
            <w:tcW w:w="2835" w:type="dxa"/>
            <w:vAlign w:val="center"/>
          </w:tcPr>
          <w:p>
            <w:pPr>
              <w:pStyle w:val="14"/>
            </w:pPr>
            <w:r>
              <w:t>优化营商环境培训会参会人数</w:t>
            </w:r>
          </w:p>
        </w:tc>
        <w:tc>
          <w:tcPr>
            <w:tcW w:w="2551" w:type="dxa"/>
            <w:vAlign w:val="center"/>
          </w:tcPr>
          <w:p>
            <w:pPr>
              <w:pStyle w:val="14"/>
            </w:pPr>
            <w:r>
              <w:t>≥60人</w:t>
            </w:r>
          </w:p>
        </w:tc>
        <w:tc>
          <w:tcPr>
            <w:tcW w:w="2268" w:type="dxa"/>
            <w:vAlign w:val="center"/>
          </w:tcPr>
          <w:p>
            <w:pPr>
              <w:pStyle w:val="14"/>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会议参会人员覆盖率</w:t>
            </w:r>
          </w:p>
        </w:tc>
        <w:tc>
          <w:tcPr>
            <w:tcW w:w="2835" w:type="dxa"/>
            <w:vAlign w:val="center"/>
          </w:tcPr>
          <w:p>
            <w:pPr>
              <w:pStyle w:val="14"/>
            </w:pPr>
            <w:r>
              <w:t>反映优化营商环境指标工作会议通知参会单位覆盖情况</w:t>
            </w:r>
          </w:p>
        </w:tc>
        <w:tc>
          <w:tcPr>
            <w:tcW w:w="2551" w:type="dxa"/>
            <w:vAlign w:val="center"/>
          </w:tcPr>
          <w:p>
            <w:pPr>
              <w:pStyle w:val="14"/>
            </w:pPr>
            <w:r>
              <w:t>100%</w:t>
            </w:r>
          </w:p>
        </w:tc>
        <w:tc>
          <w:tcPr>
            <w:tcW w:w="2268" w:type="dxa"/>
            <w:vAlign w:val="center"/>
          </w:tcPr>
          <w:p>
            <w:pPr>
              <w:pStyle w:val="14"/>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及时性</w:t>
            </w:r>
          </w:p>
        </w:tc>
        <w:tc>
          <w:tcPr>
            <w:tcW w:w="2835" w:type="dxa"/>
            <w:vAlign w:val="center"/>
          </w:tcPr>
          <w:p>
            <w:pPr>
              <w:pStyle w:val="14"/>
            </w:pPr>
            <w:r>
              <w:t>按项目计划及时进行</w:t>
            </w:r>
          </w:p>
        </w:tc>
        <w:tc>
          <w:tcPr>
            <w:tcW w:w="2551" w:type="dxa"/>
            <w:vAlign w:val="center"/>
          </w:tcPr>
          <w:p>
            <w:pPr>
              <w:pStyle w:val="14"/>
            </w:pPr>
            <w:r>
              <w:t>及时</w:t>
            </w:r>
          </w:p>
        </w:tc>
        <w:tc>
          <w:tcPr>
            <w:tcW w:w="2268" w:type="dxa"/>
            <w:vAlign w:val="center"/>
          </w:tcPr>
          <w:p>
            <w:pPr>
              <w:pStyle w:val="14"/>
            </w:pPr>
            <w: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成本控制额</w:t>
            </w:r>
          </w:p>
        </w:tc>
        <w:tc>
          <w:tcPr>
            <w:tcW w:w="2835" w:type="dxa"/>
            <w:vAlign w:val="center"/>
          </w:tcPr>
          <w:p>
            <w:pPr>
              <w:pStyle w:val="14"/>
            </w:pPr>
            <w:r>
              <w:t>成本控制额在预算范围内</w:t>
            </w:r>
          </w:p>
        </w:tc>
        <w:tc>
          <w:tcPr>
            <w:tcW w:w="2551" w:type="dxa"/>
            <w:vAlign w:val="center"/>
          </w:tcPr>
          <w:p>
            <w:pPr>
              <w:pStyle w:val="14"/>
            </w:pPr>
            <w:r>
              <w:t>≤15万元</w:t>
            </w:r>
          </w:p>
        </w:tc>
        <w:tc>
          <w:tcPr>
            <w:tcW w:w="2268" w:type="dxa"/>
            <w:vAlign w:val="center"/>
          </w:tcPr>
          <w:p>
            <w:pPr>
              <w:pStyle w:val="14"/>
            </w:pPr>
            <w: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培训人员工作能力提升</w:t>
            </w:r>
          </w:p>
        </w:tc>
        <w:tc>
          <w:tcPr>
            <w:tcW w:w="2835" w:type="dxa"/>
            <w:vAlign w:val="center"/>
          </w:tcPr>
          <w:p>
            <w:pPr>
              <w:pStyle w:val="14"/>
            </w:pPr>
            <w:r>
              <w:t>通过培训，提升参与人员的工作能力</w:t>
            </w:r>
          </w:p>
        </w:tc>
        <w:tc>
          <w:tcPr>
            <w:tcW w:w="2551" w:type="dxa"/>
            <w:vAlign w:val="center"/>
          </w:tcPr>
          <w:p>
            <w:pPr>
              <w:pStyle w:val="14"/>
            </w:pPr>
            <w:r>
              <w:t>提高</w:t>
            </w:r>
          </w:p>
        </w:tc>
        <w:tc>
          <w:tcPr>
            <w:tcW w:w="2268" w:type="dxa"/>
            <w:vAlign w:val="center"/>
          </w:tcPr>
          <w:p>
            <w:pPr>
              <w:pStyle w:val="14"/>
            </w:pPr>
            <w:r>
              <w:t>提高优质高效服务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参会人员满意度</w:t>
            </w:r>
          </w:p>
        </w:tc>
        <w:tc>
          <w:tcPr>
            <w:tcW w:w="2835" w:type="dxa"/>
            <w:vAlign w:val="center"/>
          </w:tcPr>
          <w:p>
            <w:pPr>
              <w:pStyle w:val="14"/>
            </w:pPr>
            <w:r>
              <w:t>反映参会人员的满意情况</w:t>
            </w:r>
          </w:p>
        </w:tc>
        <w:tc>
          <w:tcPr>
            <w:tcW w:w="2551" w:type="dxa"/>
            <w:vAlign w:val="center"/>
          </w:tcPr>
          <w:p>
            <w:pPr>
              <w:pStyle w:val="14"/>
            </w:pPr>
            <w:r>
              <w:t>≥95%</w:t>
            </w:r>
          </w:p>
        </w:tc>
        <w:tc>
          <w:tcPr>
            <w:tcW w:w="2268" w:type="dxa"/>
            <w:vAlign w:val="center"/>
          </w:tcPr>
          <w:p>
            <w:pPr>
              <w:pStyle w:val="14"/>
            </w:pPr>
            <w:r>
              <w:t>问卷调查</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16、廊坊市重点项目专项资金绩效目标表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1.通过重点项目专项资金的拨付保障，确保全市项目建设平稳较快推进，省市重点项目、投资亿元以上项目按照计划节点顺利实施。</w:t>
            </w:r>
          </w:p>
          <w:p>
            <w:pPr>
              <w:pStyle w:val="14"/>
            </w:pPr>
            <w:r>
              <w:t>2.按照市委、市政府确定的强力实施项目带动战略要求，以高质量的项目建设推动经济实现高质量发展，按照“3+1”主导产业定位，不断加大新一代信息技术、高端装备制造、生物医药健康和临空经济产业为主的战略新兴产业和现代服务业项目谋划建设力度，为全市经济稳较快增长提供强有力支撑。</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下发区县数量</w:t>
            </w:r>
          </w:p>
        </w:tc>
        <w:tc>
          <w:tcPr>
            <w:tcW w:w="2835" w:type="dxa"/>
            <w:vAlign w:val="center"/>
          </w:tcPr>
          <w:p>
            <w:pPr>
              <w:pStyle w:val="14"/>
            </w:pPr>
            <w:r>
              <w:t>分别为大厂县、香河县、廊坊开发区、广阳区、安次区、永清县、固安县、文安县、大城县。</w:t>
            </w:r>
          </w:p>
        </w:tc>
        <w:tc>
          <w:tcPr>
            <w:tcW w:w="2551" w:type="dxa"/>
            <w:vAlign w:val="center"/>
          </w:tcPr>
          <w:p>
            <w:pPr>
              <w:pStyle w:val="14"/>
            </w:pPr>
            <w:r>
              <w:t>9个</w:t>
            </w:r>
          </w:p>
        </w:tc>
        <w:tc>
          <w:tcPr>
            <w:tcW w:w="2268" w:type="dxa"/>
            <w:vAlign w:val="center"/>
          </w:tcPr>
          <w:p>
            <w:pPr>
              <w:pStyle w:val="14"/>
            </w:pPr>
            <w:r>
              <w:t>(廊政[2005]38号)据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下发资金准确率</w:t>
            </w:r>
          </w:p>
        </w:tc>
        <w:tc>
          <w:tcPr>
            <w:tcW w:w="2835" w:type="dxa"/>
            <w:vAlign w:val="center"/>
          </w:tcPr>
          <w:p>
            <w:pPr>
              <w:pStyle w:val="14"/>
            </w:pPr>
            <w:r>
              <w:t>考核下发到各县的资金</w:t>
            </w:r>
          </w:p>
        </w:tc>
        <w:tc>
          <w:tcPr>
            <w:tcW w:w="2551" w:type="dxa"/>
            <w:vAlign w:val="center"/>
          </w:tcPr>
          <w:p>
            <w:pPr>
              <w:pStyle w:val="14"/>
            </w:pPr>
            <w:r>
              <w:t>100%</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资金拨付及时性</w:t>
            </w:r>
          </w:p>
        </w:tc>
        <w:tc>
          <w:tcPr>
            <w:tcW w:w="2835" w:type="dxa"/>
            <w:vAlign w:val="center"/>
          </w:tcPr>
          <w:p>
            <w:pPr>
              <w:pStyle w:val="14"/>
            </w:pPr>
            <w:r>
              <w:t>考核预算资金拨付的及时性</w:t>
            </w:r>
          </w:p>
        </w:tc>
        <w:tc>
          <w:tcPr>
            <w:tcW w:w="2551" w:type="dxa"/>
            <w:vAlign w:val="center"/>
          </w:tcPr>
          <w:p>
            <w:pPr>
              <w:pStyle w:val="14"/>
            </w:pPr>
            <w:r>
              <w:t>及时</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成本控制有效性</w:t>
            </w:r>
          </w:p>
        </w:tc>
        <w:tc>
          <w:tcPr>
            <w:tcW w:w="2835" w:type="dxa"/>
            <w:vAlign w:val="center"/>
          </w:tcPr>
          <w:p>
            <w:pPr>
              <w:pStyle w:val="14"/>
            </w:pPr>
            <w:r>
              <w:t>考核项目实施工程中各项支出是否有效的控制在定额标准内</w:t>
            </w:r>
          </w:p>
        </w:tc>
        <w:tc>
          <w:tcPr>
            <w:tcW w:w="2551" w:type="dxa"/>
            <w:vAlign w:val="center"/>
          </w:tcPr>
          <w:p>
            <w:pPr>
              <w:pStyle w:val="14"/>
            </w:pPr>
            <w:r>
              <w:t>≤680万元</w:t>
            </w:r>
          </w:p>
        </w:tc>
        <w:tc>
          <w:tcPr>
            <w:tcW w:w="2268" w:type="dxa"/>
            <w:vAlign w:val="center"/>
          </w:tcPr>
          <w:p>
            <w:pPr>
              <w:pStyle w:val="14"/>
            </w:pPr>
            <w:r>
              <w:t>预算文本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推进政府投资及重大项目建设</w:t>
            </w:r>
          </w:p>
        </w:tc>
        <w:tc>
          <w:tcPr>
            <w:tcW w:w="2835" w:type="dxa"/>
            <w:vAlign w:val="center"/>
          </w:tcPr>
          <w:p>
            <w:pPr>
              <w:pStyle w:val="14"/>
            </w:pPr>
            <w:r>
              <w:t>通过重大建设项目的专项规划，对全市重点投资项目的完成起到作用。</w:t>
            </w:r>
          </w:p>
        </w:tc>
        <w:tc>
          <w:tcPr>
            <w:tcW w:w="2551" w:type="dxa"/>
            <w:vAlign w:val="center"/>
          </w:tcPr>
          <w:p>
            <w:pPr>
              <w:pStyle w:val="14"/>
            </w:pPr>
            <w:r>
              <w:t>推进</w:t>
            </w:r>
          </w:p>
        </w:tc>
        <w:tc>
          <w:tcPr>
            <w:tcW w:w="2268" w:type="dxa"/>
            <w:vAlign w:val="center"/>
          </w:tcPr>
          <w:p>
            <w:pPr>
              <w:pStyle w:val="14"/>
            </w:pPr>
            <w: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各区县满意度</w:t>
            </w:r>
          </w:p>
        </w:tc>
        <w:tc>
          <w:tcPr>
            <w:tcW w:w="2835" w:type="dxa"/>
            <w:vAlign w:val="center"/>
          </w:tcPr>
          <w:p>
            <w:pPr>
              <w:pStyle w:val="14"/>
            </w:pPr>
            <w:r>
              <w:t>9个区县满意度情况</w:t>
            </w:r>
          </w:p>
        </w:tc>
        <w:tc>
          <w:tcPr>
            <w:tcW w:w="2551" w:type="dxa"/>
            <w:vAlign w:val="center"/>
          </w:tcPr>
          <w:p>
            <w:pPr>
              <w:pStyle w:val="14"/>
            </w:pPr>
            <w:r>
              <w:t>≥95%</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17、廊石高铁直通车运行补贴市级资金绩效目标表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1.开行廊坊主城区至石家庄高铁列车</w:t>
            </w:r>
          </w:p>
          <w:p>
            <w:pPr>
              <w:pStyle w:val="14"/>
            </w:pPr>
            <w:r>
              <w:t>2.廊石高铁直通车顺利开行</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实现廊坊主城区至石家庄站高铁通达</w:t>
            </w:r>
          </w:p>
        </w:tc>
        <w:tc>
          <w:tcPr>
            <w:tcW w:w="2835" w:type="dxa"/>
            <w:vAlign w:val="center"/>
          </w:tcPr>
          <w:p>
            <w:pPr>
              <w:pStyle w:val="14"/>
            </w:pPr>
            <w:r>
              <w:t>列车每日上午自廊坊站发车，下午由石家庄站返回</w:t>
            </w:r>
          </w:p>
        </w:tc>
        <w:tc>
          <w:tcPr>
            <w:tcW w:w="2551" w:type="dxa"/>
            <w:vAlign w:val="center"/>
          </w:tcPr>
          <w:p>
            <w:pPr>
              <w:pStyle w:val="14"/>
            </w:pPr>
            <w:r>
              <w:t>≥1班次</w:t>
            </w:r>
          </w:p>
        </w:tc>
        <w:tc>
          <w:tcPr>
            <w:tcW w:w="2268" w:type="dxa"/>
            <w:vAlign w:val="center"/>
          </w:tcPr>
          <w:p>
            <w:pPr>
              <w:pStyle w:val="14"/>
            </w:pPr>
            <w:r>
              <w:t>开行廊坊至石家庄高铁列车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工作完成质量达标率</w:t>
            </w:r>
          </w:p>
        </w:tc>
        <w:tc>
          <w:tcPr>
            <w:tcW w:w="2835" w:type="dxa"/>
            <w:vAlign w:val="center"/>
          </w:tcPr>
          <w:p>
            <w:pPr>
              <w:pStyle w:val="14"/>
            </w:pPr>
            <w:r>
              <w:t>列车按时刻表正常运行</w:t>
            </w:r>
          </w:p>
        </w:tc>
        <w:tc>
          <w:tcPr>
            <w:tcW w:w="2551" w:type="dxa"/>
            <w:vAlign w:val="center"/>
          </w:tcPr>
          <w:p>
            <w:pPr>
              <w:pStyle w:val="14"/>
            </w:pPr>
            <w:r>
              <w:t>100%</w:t>
            </w:r>
          </w:p>
        </w:tc>
        <w:tc>
          <w:tcPr>
            <w:tcW w:w="2268" w:type="dxa"/>
            <w:vAlign w:val="center"/>
          </w:tcPr>
          <w:p>
            <w:pPr>
              <w:pStyle w:val="14"/>
            </w:pPr>
            <w:r>
              <w:t>列车时刻表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及时性</w:t>
            </w:r>
          </w:p>
        </w:tc>
        <w:tc>
          <w:tcPr>
            <w:tcW w:w="2835" w:type="dxa"/>
            <w:vAlign w:val="center"/>
          </w:tcPr>
          <w:p>
            <w:pPr>
              <w:pStyle w:val="14"/>
            </w:pPr>
            <w:r>
              <w:t>按时完成工作进度</w:t>
            </w:r>
          </w:p>
        </w:tc>
        <w:tc>
          <w:tcPr>
            <w:tcW w:w="2551" w:type="dxa"/>
            <w:vAlign w:val="center"/>
          </w:tcPr>
          <w:p>
            <w:pPr>
              <w:pStyle w:val="14"/>
            </w:pPr>
            <w:r>
              <w:t>及时</w:t>
            </w:r>
          </w:p>
        </w:tc>
        <w:tc>
          <w:tcPr>
            <w:tcW w:w="2268" w:type="dxa"/>
            <w:vAlign w:val="center"/>
          </w:tcPr>
          <w:p>
            <w:pPr>
              <w:pStyle w:val="14"/>
            </w:pPr>
            <w:r>
              <w:t>按计划开行列车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成本控制</w:t>
            </w:r>
          </w:p>
        </w:tc>
        <w:tc>
          <w:tcPr>
            <w:tcW w:w="2835" w:type="dxa"/>
            <w:vAlign w:val="center"/>
          </w:tcPr>
          <w:p>
            <w:pPr>
              <w:pStyle w:val="14"/>
            </w:pPr>
            <w:r>
              <w:t>成本使用情况</w:t>
            </w:r>
          </w:p>
        </w:tc>
        <w:tc>
          <w:tcPr>
            <w:tcW w:w="2551" w:type="dxa"/>
            <w:vAlign w:val="center"/>
          </w:tcPr>
          <w:p>
            <w:pPr>
              <w:pStyle w:val="14"/>
            </w:pPr>
            <w:r>
              <w:t>≤1000万元</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满足群众出行需要</w:t>
            </w:r>
          </w:p>
        </w:tc>
        <w:tc>
          <w:tcPr>
            <w:tcW w:w="2835" w:type="dxa"/>
            <w:vAlign w:val="center"/>
          </w:tcPr>
          <w:p>
            <w:pPr>
              <w:pStyle w:val="14"/>
            </w:pPr>
            <w:r>
              <w:t>满足廊坊与石家庄间群众出行需要</w:t>
            </w:r>
          </w:p>
        </w:tc>
        <w:tc>
          <w:tcPr>
            <w:tcW w:w="2551" w:type="dxa"/>
            <w:vAlign w:val="center"/>
          </w:tcPr>
          <w:p>
            <w:pPr>
              <w:pStyle w:val="14"/>
            </w:pPr>
            <w:r>
              <w:t>100%</w:t>
            </w:r>
          </w:p>
        </w:tc>
        <w:tc>
          <w:tcPr>
            <w:tcW w:w="2268" w:type="dxa"/>
            <w:vAlign w:val="center"/>
          </w:tcPr>
          <w:p>
            <w:pPr>
              <w:pStyle w:val="14"/>
            </w:pPr>
            <w:r>
              <w:t>列车正常运行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可持续影响指标</w:t>
            </w:r>
          </w:p>
        </w:tc>
        <w:tc>
          <w:tcPr>
            <w:tcW w:w="2835" w:type="dxa"/>
            <w:vAlign w:val="center"/>
          </w:tcPr>
          <w:p>
            <w:pPr>
              <w:pStyle w:val="14"/>
            </w:pPr>
            <w:r>
              <w:t>增强省会与各市之间交通联系</w:t>
            </w:r>
          </w:p>
        </w:tc>
        <w:tc>
          <w:tcPr>
            <w:tcW w:w="2835" w:type="dxa"/>
            <w:vAlign w:val="center"/>
          </w:tcPr>
          <w:p>
            <w:pPr>
              <w:pStyle w:val="14"/>
            </w:pPr>
            <w:r>
              <w:t>开通廊坊至石家庄直达列车</w:t>
            </w:r>
          </w:p>
        </w:tc>
        <w:tc>
          <w:tcPr>
            <w:tcW w:w="2551" w:type="dxa"/>
            <w:vAlign w:val="center"/>
          </w:tcPr>
          <w:p>
            <w:pPr>
              <w:pStyle w:val="14"/>
            </w:pPr>
            <w:r>
              <w:t>≥1班次</w:t>
            </w:r>
          </w:p>
        </w:tc>
        <w:tc>
          <w:tcPr>
            <w:tcW w:w="2268" w:type="dxa"/>
            <w:vAlign w:val="center"/>
          </w:tcPr>
          <w:p>
            <w:pPr>
              <w:pStyle w:val="14"/>
            </w:pPr>
            <w:r>
              <w:t>列车正常运行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拨付单位满意度</w:t>
            </w:r>
          </w:p>
        </w:tc>
        <w:tc>
          <w:tcPr>
            <w:tcW w:w="2835" w:type="dxa"/>
            <w:vAlign w:val="center"/>
          </w:tcPr>
          <w:p>
            <w:pPr>
              <w:pStyle w:val="14"/>
            </w:pPr>
            <w:r>
              <w:t>拨付单位对资金及时拨付的满意度</w:t>
            </w:r>
          </w:p>
        </w:tc>
        <w:tc>
          <w:tcPr>
            <w:tcW w:w="2551" w:type="dxa"/>
            <w:vAlign w:val="center"/>
          </w:tcPr>
          <w:p>
            <w:pPr>
              <w:pStyle w:val="14"/>
            </w:pPr>
            <w:r>
              <w:t>≥95%</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18、粮食应急保障经费绩效目标表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1.通过项目的开展实现廊坊市粮食应急保障体系建设完善，保障我市粮食应急保障能力提升。</w:t>
            </w:r>
          </w:p>
          <w:p>
            <w:pPr>
              <w:pStyle w:val="14"/>
            </w:pPr>
            <w:r>
              <w:t>2.通过项目的开展用于应急物资、食品储备和支持应急保障企业，加强对应急加工、供应和储运设施的建设维护，应急培训演练等提升应急能力方面工作，实现我市粮食应急保障能力提升和粮食质量安全。</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开展应急会议次数</w:t>
            </w:r>
          </w:p>
        </w:tc>
        <w:tc>
          <w:tcPr>
            <w:tcW w:w="2835" w:type="dxa"/>
            <w:vAlign w:val="center"/>
          </w:tcPr>
          <w:p>
            <w:pPr>
              <w:pStyle w:val="14"/>
            </w:pPr>
            <w:r>
              <w:t>组织开展进行应急会议次数</w:t>
            </w:r>
          </w:p>
        </w:tc>
        <w:tc>
          <w:tcPr>
            <w:tcW w:w="2551" w:type="dxa"/>
            <w:vAlign w:val="center"/>
          </w:tcPr>
          <w:p>
            <w:pPr>
              <w:pStyle w:val="14"/>
            </w:pPr>
            <w:r>
              <w:t>1个</w:t>
            </w:r>
          </w:p>
        </w:tc>
        <w:tc>
          <w:tcPr>
            <w:tcW w:w="2268" w:type="dxa"/>
            <w:vAlign w:val="center"/>
          </w:tcPr>
          <w:p>
            <w:pPr>
              <w:pStyle w:val="14"/>
            </w:pPr>
            <w:r>
              <w:t>相关文件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应急储备物资粮食合格率</w:t>
            </w:r>
          </w:p>
        </w:tc>
        <w:tc>
          <w:tcPr>
            <w:tcW w:w="2835" w:type="dxa"/>
            <w:vAlign w:val="center"/>
          </w:tcPr>
          <w:p>
            <w:pPr>
              <w:pStyle w:val="14"/>
            </w:pPr>
            <w:r>
              <w:t>应急储备物资粮食合格情况</w:t>
            </w:r>
          </w:p>
        </w:tc>
        <w:tc>
          <w:tcPr>
            <w:tcW w:w="2551" w:type="dxa"/>
            <w:vAlign w:val="center"/>
          </w:tcPr>
          <w:p>
            <w:pPr>
              <w:pStyle w:val="14"/>
            </w:pPr>
            <w:r>
              <w:t>合格</w:t>
            </w:r>
          </w:p>
        </w:tc>
        <w:tc>
          <w:tcPr>
            <w:tcW w:w="2268" w:type="dxa"/>
            <w:vAlign w:val="center"/>
          </w:tcPr>
          <w:p>
            <w:pPr>
              <w:pStyle w:val="14"/>
            </w:pPr>
            <w:r>
              <w:t>实际验收情况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及时完成</w:t>
            </w:r>
          </w:p>
        </w:tc>
        <w:tc>
          <w:tcPr>
            <w:tcW w:w="2835" w:type="dxa"/>
            <w:vAlign w:val="center"/>
          </w:tcPr>
          <w:p>
            <w:pPr>
              <w:pStyle w:val="14"/>
            </w:pPr>
            <w:r>
              <w:t>及时按照文件要求完成工作任务</w:t>
            </w:r>
          </w:p>
        </w:tc>
        <w:tc>
          <w:tcPr>
            <w:tcW w:w="2551" w:type="dxa"/>
            <w:vAlign w:val="center"/>
          </w:tcPr>
          <w:p>
            <w:pPr>
              <w:pStyle w:val="14"/>
            </w:pPr>
            <w:r>
              <w:t>及时</w:t>
            </w:r>
          </w:p>
        </w:tc>
        <w:tc>
          <w:tcPr>
            <w:tcW w:w="2268" w:type="dxa"/>
            <w:vAlign w:val="center"/>
          </w:tcPr>
          <w:p>
            <w:pPr>
              <w:pStyle w:val="14"/>
            </w:pPr>
            <w:r>
              <w:t>实际工作进展和验收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成本控制额</w:t>
            </w:r>
          </w:p>
        </w:tc>
        <w:tc>
          <w:tcPr>
            <w:tcW w:w="2835" w:type="dxa"/>
            <w:vAlign w:val="center"/>
          </w:tcPr>
          <w:p>
            <w:pPr>
              <w:pStyle w:val="14"/>
            </w:pPr>
            <w:r>
              <w:t>应急物资食品储备、支持应急保障企业、组织应急演练成本控制额</w:t>
            </w:r>
          </w:p>
        </w:tc>
        <w:tc>
          <w:tcPr>
            <w:tcW w:w="2551" w:type="dxa"/>
            <w:vAlign w:val="center"/>
          </w:tcPr>
          <w:p>
            <w:pPr>
              <w:pStyle w:val="14"/>
            </w:pPr>
            <w:r>
              <w:t>≤5万元</w:t>
            </w:r>
          </w:p>
        </w:tc>
        <w:tc>
          <w:tcPr>
            <w:tcW w:w="2268" w:type="dxa"/>
            <w:vAlign w:val="center"/>
          </w:tcPr>
          <w:p>
            <w:pPr>
              <w:pStyle w:val="14"/>
            </w:pPr>
            <w: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应急保障能力提升率</w:t>
            </w:r>
          </w:p>
        </w:tc>
        <w:tc>
          <w:tcPr>
            <w:tcW w:w="2835" w:type="dxa"/>
            <w:vAlign w:val="center"/>
          </w:tcPr>
          <w:p>
            <w:pPr>
              <w:pStyle w:val="14"/>
            </w:pPr>
            <w:r>
              <w:t>应急保障能力提升情况</w:t>
            </w:r>
          </w:p>
        </w:tc>
        <w:tc>
          <w:tcPr>
            <w:tcW w:w="2551" w:type="dxa"/>
            <w:vAlign w:val="center"/>
          </w:tcPr>
          <w:p>
            <w:pPr>
              <w:pStyle w:val="14"/>
            </w:pPr>
            <w:r>
              <w:t>提升</w:t>
            </w:r>
          </w:p>
        </w:tc>
        <w:tc>
          <w:tcPr>
            <w:tcW w:w="2268" w:type="dxa"/>
            <w:vAlign w:val="center"/>
          </w:tcPr>
          <w:p>
            <w:pPr>
              <w:pStyle w:val="14"/>
            </w:pPr>
            <w:r>
              <w:t>实际工作进展和验收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部门满意度</w:t>
            </w:r>
          </w:p>
        </w:tc>
        <w:tc>
          <w:tcPr>
            <w:tcW w:w="2835" w:type="dxa"/>
            <w:vAlign w:val="center"/>
          </w:tcPr>
          <w:p>
            <w:pPr>
              <w:pStyle w:val="14"/>
            </w:pPr>
            <w:r>
              <w:t>相关部门、企业的满意度</w:t>
            </w:r>
          </w:p>
        </w:tc>
        <w:tc>
          <w:tcPr>
            <w:tcW w:w="2551" w:type="dxa"/>
            <w:vAlign w:val="center"/>
          </w:tcPr>
          <w:p>
            <w:pPr>
              <w:pStyle w:val="14"/>
            </w:pPr>
            <w:r>
              <w:t>≥90%</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19、新建城际铁路联络线一期工程（廊坊东至新机场段）河北段项目市级资金绩效目标表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1.推进城际铁路联络线一期工程河北段项目建设，助力打造“轨道上的京津冀”。</w:t>
            </w:r>
          </w:p>
          <w:p>
            <w:pPr>
              <w:pStyle w:val="14"/>
            </w:pPr>
            <w:r>
              <w:t>2.推动项目加快建设，完成当年计划投资任务。</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拨付单位数量</w:t>
            </w:r>
          </w:p>
        </w:tc>
        <w:tc>
          <w:tcPr>
            <w:tcW w:w="2835" w:type="dxa"/>
            <w:vAlign w:val="center"/>
          </w:tcPr>
          <w:p>
            <w:pPr>
              <w:pStyle w:val="14"/>
            </w:pPr>
            <w:r>
              <w:t>项目资金拨付单位数量</w:t>
            </w:r>
          </w:p>
        </w:tc>
        <w:tc>
          <w:tcPr>
            <w:tcW w:w="2551" w:type="dxa"/>
            <w:vAlign w:val="center"/>
          </w:tcPr>
          <w:p>
            <w:pPr>
              <w:pStyle w:val="14"/>
            </w:pPr>
            <w:r>
              <w:t>1个</w:t>
            </w:r>
          </w:p>
        </w:tc>
        <w:tc>
          <w:tcPr>
            <w:tcW w:w="2268" w:type="dxa"/>
            <w:vAlign w:val="center"/>
          </w:tcPr>
          <w:p>
            <w:pPr>
              <w:pStyle w:val="14"/>
            </w:pPr>
            <w:r>
              <w:t>资金拨付凭证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严格相关程序</w:t>
            </w:r>
          </w:p>
        </w:tc>
        <w:tc>
          <w:tcPr>
            <w:tcW w:w="2835" w:type="dxa"/>
            <w:vAlign w:val="center"/>
          </w:tcPr>
          <w:p>
            <w:pPr>
              <w:pStyle w:val="14"/>
            </w:pPr>
            <w:r>
              <w:t>严格按照相关程序拨付资金</w:t>
            </w:r>
          </w:p>
        </w:tc>
        <w:tc>
          <w:tcPr>
            <w:tcW w:w="2551" w:type="dxa"/>
            <w:vAlign w:val="center"/>
          </w:tcPr>
          <w:p>
            <w:pPr>
              <w:pStyle w:val="14"/>
            </w:pPr>
            <w:r>
              <w:t>符合</w:t>
            </w:r>
          </w:p>
        </w:tc>
        <w:tc>
          <w:tcPr>
            <w:tcW w:w="2268" w:type="dxa"/>
            <w:vAlign w:val="center"/>
          </w:tcPr>
          <w:p>
            <w:pPr>
              <w:pStyle w:val="14"/>
            </w:pPr>
            <w:r>
              <w:t>依据文件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及时性</w:t>
            </w:r>
          </w:p>
        </w:tc>
        <w:tc>
          <w:tcPr>
            <w:tcW w:w="2835" w:type="dxa"/>
            <w:vAlign w:val="center"/>
          </w:tcPr>
          <w:p>
            <w:pPr>
              <w:pStyle w:val="14"/>
            </w:pPr>
            <w:r>
              <w:t>资金拨付及时性</w:t>
            </w:r>
          </w:p>
        </w:tc>
        <w:tc>
          <w:tcPr>
            <w:tcW w:w="2551" w:type="dxa"/>
            <w:vAlign w:val="center"/>
          </w:tcPr>
          <w:p>
            <w:pPr>
              <w:pStyle w:val="14"/>
            </w:pPr>
            <w:r>
              <w:t>及时</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成本控制</w:t>
            </w:r>
          </w:p>
        </w:tc>
        <w:tc>
          <w:tcPr>
            <w:tcW w:w="2835" w:type="dxa"/>
            <w:vAlign w:val="center"/>
          </w:tcPr>
          <w:p>
            <w:pPr>
              <w:pStyle w:val="14"/>
            </w:pPr>
            <w:r>
              <w:t>成本控制在预算范围内</w:t>
            </w:r>
          </w:p>
        </w:tc>
        <w:tc>
          <w:tcPr>
            <w:tcW w:w="2551" w:type="dxa"/>
            <w:vAlign w:val="center"/>
          </w:tcPr>
          <w:p>
            <w:pPr>
              <w:pStyle w:val="14"/>
            </w:pPr>
            <w:r>
              <w:t>≤92000万元</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助力项目建设</w:t>
            </w:r>
          </w:p>
        </w:tc>
        <w:tc>
          <w:tcPr>
            <w:tcW w:w="2835" w:type="dxa"/>
            <w:vAlign w:val="center"/>
          </w:tcPr>
          <w:p>
            <w:pPr>
              <w:pStyle w:val="14"/>
            </w:pPr>
            <w:r>
              <w:t>资金支持项目建设</w:t>
            </w:r>
          </w:p>
        </w:tc>
        <w:tc>
          <w:tcPr>
            <w:tcW w:w="2551" w:type="dxa"/>
            <w:vAlign w:val="center"/>
          </w:tcPr>
          <w:p>
            <w:pPr>
              <w:pStyle w:val="14"/>
            </w:pPr>
            <w:r>
              <w:t>助力</w:t>
            </w:r>
          </w:p>
        </w:tc>
        <w:tc>
          <w:tcPr>
            <w:tcW w:w="2268" w:type="dxa"/>
            <w:vAlign w:val="center"/>
          </w:tcPr>
          <w:p>
            <w:pPr>
              <w:pStyle w:val="14"/>
            </w:pPr>
            <w:r>
              <w:t>建设进度描述文件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拨付单位满意度</w:t>
            </w:r>
          </w:p>
        </w:tc>
        <w:tc>
          <w:tcPr>
            <w:tcW w:w="2835" w:type="dxa"/>
            <w:vAlign w:val="center"/>
          </w:tcPr>
          <w:p>
            <w:pPr>
              <w:pStyle w:val="14"/>
            </w:pPr>
            <w:r>
              <w:t>拨付单位满意度</w:t>
            </w:r>
          </w:p>
        </w:tc>
        <w:tc>
          <w:tcPr>
            <w:tcW w:w="2551" w:type="dxa"/>
            <w:vAlign w:val="center"/>
          </w:tcPr>
          <w:p>
            <w:pPr>
              <w:pStyle w:val="14"/>
            </w:pPr>
            <w:r>
              <w:t>≥95%</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20、原老干部局南楼装修改造项目资金绩效目标表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1.保障满足正常的办公需求。</w:t>
            </w:r>
          </w:p>
          <w:p>
            <w:pPr>
              <w:pStyle w:val="14"/>
            </w:pPr>
            <w:r>
              <w:t>2.改善办公环境，满足正常办公需求，消除安全隐患。</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施工合同</w:t>
            </w:r>
          </w:p>
        </w:tc>
        <w:tc>
          <w:tcPr>
            <w:tcW w:w="2835" w:type="dxa"/>
            <w:vAlign w:val="center"/>
          </w:tcPr>
          <w:p>
            <w:pPr>
              <w:pStyle w:val="14"/>
            </w:pPr>
            <w:r>
              <w:t>根据工作需求进行招标</w:t>
            </w:r>
          </w:p>
        </w:tc>
        <w:tc>
          <w:tcPr>
            <w:tcW w:w="2551" w:type="dxa"/>
            <w:vAlign w:val="center"/>
          </w:tcPr>
          <w:p>
            <w:pPr>
              <w:pStyle w:val="14"/>
            </w:pPr>
            <w:r>
              <w:t>1个</w:t>
            </w:r>
          </w:p>
        </w:tc>
        <w:tc>
          <w:tcPr>
            <w:tcW w:w="2268" w:type="dxa"/>
            <w:vAlign w:val="center"/>
          </w:tcPr>
          <w:p>
            <w:pPr>
              <w:pStyle w:val="14"/>
            </w:pPr>
            <w:r>
              <w:t>施工合同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下发资金准确率</w:t>
            </w:r>
          </w:p>
        </w:tc>
        <w:tc>
          <w:tcPr>
            <w:tcW w:w="2835" w:type="dxa"/>
            <w:vAlign w:val="center"/>
          </w:tcPr>
          <w:p>
            <w:pPr>
              <w:pStyle w:val="14"/>
            </w:pPr>
            <w:r>
              <w:t>资金下发是否有明确的依据</w:t>
            </w:r>
          </w:p>
        </w:tc>
        <w:tc>
          <w:tcPr>
            <w:tcW w:w="2551" w:type="dxa"/>
            <w:vAlign w:val="center"/>
          </w:tcPr>
          <w:p>
            <w:pPr>
              <w:pStyle w:val="14"/>
            </w:pPr>
            <w:r>
              <w:t>100%</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及时性</w:t>
            </w:r>
          </w:p>
        </w:tc>
        <w:tc>
          <w:tcPr>
            <w:tcW w:w="2835" w:type="dxa"/>
            <w:vAlign w:val="center"/>
          </w:tcPr>
          <w:p>
            <w:pPr>
              <w:pStyle w:val="14"/>
            </w:pPr>
            <w:r>
              <w:t>工作完成的及时性</w:t>
            </w:r>
          </w:p>
        </w:tc>
        <w:tc>
          <w:tcPr>
            <w:tcW w:w="2551" w:type="dxa"/>
            <w:vAlign w:val="center"/>
          </w:tcPr>
          <w:p>
            <w:pPr>
              <w:pStyle w:val="14"/>
            </w:pPr>
            <w:r>
              <w:t>及时</w:t>
            </w:r>
          </w:p>
        </w:tc>
        <w:tc>
          <w:tcPr>
            <w:tcW w:w="2268" w:type="dxa"/>
            <w:vAlign w:val="center"/>
          </w:tcPr>
          <w:p>
            <w:pPr>
              <w:pStyle w:val="14"/>
            </w:pPr>
            <w:r>
              <w:t>完工时间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装修改造项目成本控制金额</w:t>
            </w:r>
          </w:p>
        </w:tc>
        <w:tc>
          <w:tcPr>
            <w:tcW w:w="2835" w:type="dxa"/>
            <w:vAlign w:val="center"/>
          </w:tcPr>
          <w:p>
            <w:pPr>
              <w:pStyle w:val="14"/>
            </w:pPr>
            <w:r>
              <w:t>装修改造项目严格按照预算成本支出</w:t>
            </w:r>
          </w:p>
        </w:tc>
        <w:tc>
          <w:tcPr>
            <w:tcW w:w="2551" w:type="dxa"/>
            <w:vAlign w:val="center"/>
          </w:tcPr>
          <w:p>
            <w:pPr>
              <w:pStyle w:val="14"/>
            </w:pPr>
            <w:r>
              <w:t>≤55.5万元</w:t>
            </w:r>
          </w:p>
        </w:tc>
        <w:tc>
          <w:tcPr>
            <w:tcW w:w="2268" w:type="dxa"/>
            <w:vAlign w:val="center"/>
          </w:tcPr>
          <w:p>
            <w:pPr>
              <w:pStyle w:val="14"/>
            </w:pPr>
            <w:r>
              <w:t>财务资料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进行装修改造，满足办公需求，消除安全隐患</w:t>
            </w:r>
          </w:p>
        </w:tc>
        <w:tc>
          <w:tcPr>
            <w:tcW w:w="2835" w:type="dxa"/>
            <w:vAlign w:val="center"/>
          </w:tcPr>
          <w:p>
            <w:pPr>
              <w:pStyle w:val="14"/>
            </w:pPr>
            <w:r>
              <w:t>对西院南楼进行装修改造</w:t>
            </w:r>
          </w:p>
        </w:tc>
        <w:tc>
          <w:tcPr>
            <w:tcW w:w="2551" w:type="dxa"/>
            <w:vAlign w:val="center"/>
          </w:tcPr>
          <w:p>
            <w:pPr>
              <w:pStyle w:val="14"/>
            </w:pPr>
            <w:r>
              <w:t>改造</w:t>
            </w:r>
          </w:p>
        </w:tc>
        <w:tc>
          <w:tcPr>
            <w:tcW w:w="2268" w:type="dxa"/>
            <w:vAlign w:val="center"/>
          </w:tcPr>
          <w:p>
            <w:pPr>
              <w:pStyle w:val="14"/>
            </w:pPr>
            <w:r>
              <w:t>工作总结</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验收部门满意度</w:t>
            </w:r>
          </w:p>
        </w:tc>
        <w:tc>
          <w:tcPr>
            <w:tcW w:w="2835" w:type="dxa"/>
            <w:vAlign w:val="center"/>
          </w:tcPr>
          <w:p>
            <w:pPr>
              <w:pStyle w:val="14"/>
            </w:pPr>
            <w:r>
              <w:t>验收部门满意度</w:t>
            </w:r>
          </w:p>
        </w:tc>
        <w:tc>
          <w:tcPr>
            <w:tcW w:w="2551" w:type="dxa"/>
            <w:vAlign w:val="center"/>
          </w:tcPr>
          <w:p>
            <w:pPr>
              <w:pStyle w:val="14"/>
            </w:pPr>
            <w:r>
              <w:t>≥95%</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21、政府投资项目评估论证经费绩效目标表</w:t>
      </w:r>
    </w:p>
    <w:tbl>
      <w:tblPr>
        <w:tblStyle w:val="6"/>
        <w:tblW w:w="14173" w:type="dxa"/>
        <w:jc w:val="center"/>
        <w:tblInd w:w="0" w:type="dxa"/>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2"/>
            </w:pPr>
            <w:r>
              <w:t>绩效目标</w:t>
            </w:r>
          </w:p>
        </w:tc>
        <w:tc>
          <w:tcPr>
            <w:tcW w:w="12756" w:type="dxa"/>
            <w:tcBorders>
              <w:bottom w:val="single" w:color="FFFFFF" w:sz="6" w:space="0"/>
            </w:tcBorders>
            <w:vAlign w:val="center"/>
          </w:tcPr>
          <w:p>
            <w:pPr>
              <w:pStyle w:val="14"/>
            </w:pPr>
            <w:r>
              <w:t>1.为加强投资决策的科学性和民主性，提高投资咨询评估的质量和效率，高效集约利用财政性资金。</w:t>
            </w:r>
          </w:p>
          <w:p>
            <w:pPr>
              <w:pStyle w:val="14"/>
            </w:pPr>
            <w:r>
              <w:t>2.以咨询评估意见为基础，科学、合理完成建设规划批复、项目批复、资金申报等工作。</w:t>
            </w:r>
          </w:p>
        </w:tc>
      </w:tr>
    </w:tbl>
    <w:p>
      <w:pPr>
        <w:spacing w:line="2" w:lineRule="exact"/>
        <w:jc w:val="center"/>
      </w:pPr>
    </w:p>
    <w:tbl>
      <w:tblPr>
        <w:tblStyle w:val="6"/>
        <w:tblW w:w="14174"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417" w:type="dxa"/>
            <w:vAlign w:val="center"/>
          </w:tcPr>
          <w:p>
            <w:pPr>
              <w:pStyle w:val="12"/>
            </w:pPr>
            <w:r>
              <w:t>一级指标</w:t>
            </w:r>
          </w:p>
        </w:tc>
        <w:tc>
          <w:tcPr>
            <w:tcW w:w="2268" w:type="dxa"/>
            <w:vAlign w:val="center"/>
          </w:tcPr>
          <w:p>
            <w:pPr>
              <w:pStyle w:val="12"/>
            </w:pPr>
            <w:r>
              <w:t>二级指标</w:t>
            </w:r>
          </w:p>
        </w:tc>
        <w:tc>
          <w:tcPr>
            <w:tcW w:w="2835" w:type="dxa"/>
            <w:vAlign w:val="center"/>
          </w:tcPr>
          <w:p>
            <w:pPr>
              <w:pStyle w:val="12"/>
            </w:pPr>
            <w:r>
              <w:t>三级指标</w:t>
            </w:r>
          </w:p>
        </w:tc>
        <w:tc>
          <w:tcPr>
            <w:tcW w:w="2835" w:type="dxa"/>
            <w:vAlign w:val="center"/>
          </w:tcPr>
          <w:p>
            <w:pPr>
              <w:pStyle w:val="12"/>
            </w:pPr>
            <w:r>
              <w:t>绩效指标描述</w:t>
            </w:r>
          </w:p>
        </w:tc>
        <w:tc>
          <w:tcPr>
            <w:tcW w:w="2551" w:type="dxa"/>
            <w:vAlign w:val="center"/>
          </w:tcPr>
          <w:p>
            <w:pPr>
              <w:pStyle w:val="12"/>
            </w:pPr>
            <w:r>
              <w:t>指标值</w:t>
            </w:r>
          </w:p>
        </w:tc>
        <w:tc>
          <w:tcPr>
            <w:tcW w:w="2268" w:type="dxa"/>
            <w:vAlign w:val="center"/>
          </w:tcPr>
          <w:p>
            <w:pPr>
              <w:pStyle w:val="12"/>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产出指标</w:t>
            </w:r>
          </w:p>
        </w:tc>
        <w:tc>
          <w:tcPr>
            <w:tcW w:w="2268" w:type="dxa"/>
            <w:vAlign w:val="center"/>
          </w:tcPr>
          <w:p>
            <w:pPr>
              <w:pStyle w:val="14"/>
            </w:pPr>
            <w:r>
              <w:t>数量指标</w:t>
            </w:r>
          </w:p>
        </w:tc>
        <w:tc>
          <w:tcPr>
            <w:tcW w:w="2835" w:type="dxa"/>
            <w:vAlign w:val="center"/>
          </w:tcPr>
          <w:p>
            <w:pPr>
              <w:pStyle w:val="14"/>
            </w:pPr>
            <w:r>
              <w:t>编制评估报告完成率</w:t>
            </w:r>
          </w:p>
        </w:tc>
        <w:tc>
          <w:tcPr>
            <w:tcW w:w="2835" w:type="dxa"/>
            <w:vAlign w:val="center"/>
          </w:tcPr>
          <w:p>
            <w:pPr>
              <w:pStyle w:val="14"/>
            </w:pPr>
            <w:r>
              <w:t>考察评估报告完成数量情况</w:t>
            </w:r>
          </w:p>
        </w:tc>
        <w:tc>
          <w:tcPr>
            <w:tcW w:w="2551" w:type="dxa"/>
            <w:vAlign w:val="center"/>
          </w:tcPr>
          <w:p>
            <w:pPr>
              <w:pStyle w:val="14"/>
            </w:pPr>
            <w:r>
              <w:t>≥90%</w:t>
            </w:r>
          </w:p>
        </w:tc>
        <w:tc>
          <w:tcPr>
            <w:tcW w:w="2268" w:type="dxa"/>
            <w:vAlign w:val="center"/>
          </w:tcPr>
          <w:p>
            <w:pPr>
              <w:pStyle w:val="14"/>
            </w:pPr>
            <w:r>
              <w:t>建设规划、建设项目等批复文件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达到评估深度</w:t>
            </w:r>
          </w:p>
        </w:tc>
        <w:tc>
          <w:tcPr>
            <w:tcW w:w="2835" w:type="dxa"/>
            <w:vAlign w:val="center"/>
          </w:tcPr>
          <w:p>
            <w:pPr>
              <w:pStyle w:val="14"/>
            </w:pPr>
            <w:r>
              <w:t>满足审批条件</w:t>
            </w:r>
          </w:p>
        </w:tc>
        <w:tc>
          <w:tcPr>
            <w:tcW w:w="2551" w:type="dxa"/>
            <w:vAlign w:val="center"/>
          </w:tcPr>
          <w:p>
            <w:pPr>
              <w:pStyle w:val="14"/>
            </w:pPr>
            <w:r>
              <w:t>满足</w:t>
            </w:r>
          </w:p>
        </w:tc>
        <w:tc>
          <w:tcPr>
            <w:tcW w:w="2268" w:type="dxa"/>
            <w:vAlign w:val="center"/>
          </w:tcPr>
          <w:p>
            <w:pPr>
              <w:pStyle w:val="14"/>
            </w:pPr>
            <w:r>
              <w:t>建设规划、建设项目等批复文件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评估报告及时性</w:t>
            </w:r>
          </w:p>
        </w:tc>
        <w:tc>
          <w:tcPr>
            <w:tcW w:w="2835" w:type="dxa"/>
            <w:vAlign w:val="center"/>
          </w:tcPr>
          <w:p>
            <w:pPr>
              <w:pStyle w:val="14"/>
            </w:pPr>
            <w:r>
              <w:t>按照规定时间完成评估工作</w:t>
            </w:r>
          </w:p>
        </w:tc>
        <w:tc>
          <w:tcPr>
            <w:tcW w:w="2551" w:type="dxa"/>
            <w:vAlign w:val="center"/>
          </w:tcPr>
          <w:p>
            <w:pPr>
              <w:pStyle w:val="14"/>
            </w:pPr>
            <w:r>
              <w:t>及时</w:t>
            </w:r>
          </w:p>
        </w:tc>
        <w:tc>
          <w:tcPr>
            <w:tcW w:w="2268" w:type="dxa"/>
            <w:vAlign w:val="center"/>
          </w:tcPr>
          <w:p>
            <w:pPr>
              <w:pStyle w:val="14"/>
            </w:pPr>
            <w:r>
              <w:t>财务支出凭证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成本控制额　</w:t>
            </w:r>
          </w:p>
        </w:tc>
        <w:tc>
          <w:tcPr>
            <w:tcW w:w="2835" w:type="dxa"/>
            <w:vAlign w:val="center"/>
          </w:tcPr>
          <w:p>
            <w:pPr>
              <w:pStyle w:val="14"/>
            </w:pPr>
            <w:r>
              <w:t>费用支出成本控制在预算范围内　</w:t>
            </w:r>
          </w:p>
        </w:tc>
        <w:tc>
          <w:tcPr>
            <w:tcW w:w="2551" w:type="dxa"/>
            <w:vAlign w:val="center"/>
          </w:tcPr>
          <w:p>
            <w:pPr>
              <w:pStyle w:val="14"/>
            </w:pPr>
            <w:r>
              <w:t>≤150万元</w:t>
            </w:r>
          </w:p>
        </w:tc>
        <w:tc>
          <w:tcPr>
            <w:tcW w:w="2268" w:type="dxa"/>
            <w:vAlign w:val="center"/>
          </w:tcPr>
          <w:p>
            <w:pPr>
              <w:pStyle w:val="14"/>
            </w:pPr>
            <w:r>
              <w:t>　预算文本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restart"/>
            <w:vAlign w:val="center"/>
          </w:tcPr>
          <w:p>
            <w:pPr>
              <w:pStyle w:val="15"/>
            </w:pPr>
            <w:r>
              <w:t>效益指标</w:t>
            </w:r>
          </w:p>
        </w:tc>
        <w:tc>
          <w:tcPr>
            <w:tcW w:w="2268" w:type="dxa"/>
            <w:vAlign w:val="center"/>
          </w:tcPr>
          <w:p>
            <w:pPr>
              <w:pStyle w:val="14"/>
            </w:pPr>
            <w:r>
              <w:t>社会效益指标</w:t>
            </w:r>
          </w:p>
        </w:tc>
        <w:tc>
          <w:tcPr>
            <w:tcW w:w="2835" w:type="dxa"/>
            <w:vAlign w:val="center"/>
          </w:tcPr>
          <w:p>
            <w:pPr>
              <w:pStyle w:val="14"/>
            </w:pPr>
            <w:r>
              <w:t>　推进政府投资项目建设</w:t>
            </w:r>
          </w:p>
        </w:tc>
        <w:tc>
          <w:tcPr>
            <w:tcW w:w="2835" w:type="dxa"/>
            <w:vAlign w:val="center"/>
          </w:tcPr>
          <w:p>
            <w:pPr>
              <w:pStyle w:val="14"/>
            </w:pPr>
            <w:r>
              <w:t>通过对政府投资项目专项规划，对投资项目的完成起到作用。　</w:t>
            </w:r>
          </w:p>
        </w:tc>
        <w:tc>
          <w:tcPr>
            <w:tcW w:w="2551" w:type="dxa"/>
            <w:vAlign w:val="center"/>
          </w:tcPr>
          <w:p>
            <w:pPr>
              <w:pStyle w:val="14"/>
            </w:pPr>
            <w:r>
              <w:t>推进</w:t>
            </w:r>
          </w:p>
        </w:tc>
        <w:tc>
          <w:tcPr>
            <w:tcW w:w="2268" w:type="dxa"/>
            <w:vAlign w:val="center"/>
          </w:tcPr>
          <w:p>
            <w:pPr>
              <w:pStyle w:val="14"/>
            </w:pPr>
            <w:r>
              <w:t>工作总结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可持续影响指标</w:t>
            </w:r>
          </w:p>
        </w:tc>
        <w:tc>
          <w:tcPr>
            <w:tcW w:w="2835" w:type="dxa"/>
            <w:vAlign w:val="center"/>
          </w:tcPr>
          <w:p>
            <w:pPr>
              <w:pStyle w:val="14"/>
            </w:pPr>
            <w:r>
              <w:t>审批项目面向社会公布情况</w:t>
            </w:r>
          </w:p>
        </w:tc>
        <w:tc>
          <w:tcPr>
            <w:tcW w:w="2835" w:type="dxa"/>
            <w:vAlign w:val="center"/>
          </w:tcPr>
          <w:p>
            <w:pPr>
              <w:pStyle w:val="14"/>
            </w:pPr>
            <w:r>
              <w:t>审批项目视政府网站发布情况</w:t>
            </w:r>
          </w:p>
        </w:tc>
        <w:tc>
          <w:tcPr>
            <w:tcW w:w="2551" w:type="dxa"/>
            <w:vAlign w:val="center"/>
          </w:tcPr>
          <w:p>
            <w:pPr>
              <w:pStyle w:val="14"/>
            </w:pPr>
            <w:r>
              <w:t>及时</w:t>
            </w:r>
          </w:p>
        </w:tc>
        <w:tc>
          <w:tcPr>
            <w:tcW w:w="2268" w:type="dxa"/>
            <w:vAlign w:val="center"/>
          </w:tcPr>
          <w:p>
            <w:pPr>
              <w:pStyle w:val="14"/>
            </w:pPr>
            <w:r>
              <w:t>政府网站发布情况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1417" w:type="dxa"/>
            <w:vAlign w:val="center"/>
          </w:tcPr>
          <w:p>
            <w:pPr>
              <w:pStyle w:val="15"/>
            </w:pPr>
            <w:r>
              <w:t>满意度指标</w:t>
            </w:r>
          </w:p>
        </w:tc>
        <w:tc>
          <w:tcPr>
            <w:tcW w:w="2268" w:type="dxa"/>
            <w:vAlign w:val="center"/>
          </w:tcPr>
          <w:p>
            <w:pPr>
              <w:pStyle w:val="14"/>
            </w:pPr>
            <w:r>
              <w:t>服务对象满意度指标</w:t>
            </w:r>
          </w:p>
        </w:tc>
        <w:tc>
          <w:tcPr>
            <w:tcW w:w="2835" w:type="dxa"/>
            <w:vAlign w:val="center"/>
          </w:tcPr>
          <w:p>
            <w:pPr>
              <w:pStyle w:val="14"/>
            </w:pPr>
            <w:r>
              <w:t>项目单位满意度</w:t>
            </w:r>
          </w:p>
        </w:tc>
        <w:tc>
          <w:tcPr>
            <w:tcW w:w="2835" w:type="dxa"/>
            <w:vAlign w:val="center"/>
          </w:tcPr>
          <w:p>
            <w:pPr>
              <w:pStyle w:val="14"/>
            </w:pPr>
            <w:r>
              <w:t>考核项目单位满意程度</w:t>
            </w:r>
          </w:p>
        </w:tc>
        <w:tc>
          <w:tcPr>
            <w:tcW w:w="2551" w:type="dxa"/>
            <w:vAlign w:val="center"/>
          </w:tcPr>
          <w:p>
            <w:pPr>
              <w:pStyle w:val="14"/>
            </w:pPr>
            <w:r>
              <w:t>≥90%</w:t>
            </w:r>
          </w:p>
        </w:tc>
        <w:tc>
          <w:tcPr>
            <w:tcW w:w="2268" w:type="dxa"/>
            <w:vAlign w:val="center"/>
          </w:tcPr>
          <w:p>
            <w:pPr>
              <w:pStyle w:val="14"/>
            </w:pPr>
            <w:r>
              <w:t>调查问卷</w:t>
            </w:r>
          </w:p>
        </w:tc>
      </w:tr>
    </w:tbl>
    <w:p>
      <w:pPr>
        <w:sectPr>
          <w:pgSz w:w="16840" w:h="11900" w:orient="landscape"/>
          <w:pgMar w:top="1361" w:right="1020" w:bottom="1134" w:left="1020" w:header="720" w:footer="720" w:gutter="0"/>
          <w:cols w:space="720" w:num="1"/>
        </w:sectPr>
      </w:pPr>
    </w:p>
    <w:p>
      <w:pPr>
        <w:spacing w:before="10" w:after="10"/>
        <w:ind w:firstLine="640"/>
        <w:outlineLvl w:val="2"/>
      </w:pPr>
      <w:bookmarkStart w:id="5" w:name="_Toc_3_3_0000000015"/>
      <w:r>
        <w:rPr>
          <w:rFonts w:ascii="黑体" w:hAnsi="黑体" w:eastAsia="黑体" w:cs="黑体"/>
          <w:color w:val="000000"/>
          <w:sz w:val="32"/>
        </w:rPr>
        <w:t>六、政府采购预算情况</w:t>
      </w:r>
      <w:bookmarkEnd w:id="5"/>
    </w:p>
    <w:p>
      <w:pPr>
        <w:spacing w:line="500" w:lineRule="exact"/>
        <w:ind w:firstLine="560"/>
        <w:rPr>
          <w:rFonts w:eastAsia="方正仿宋_GBK"/>
          <w:color w:val="000000"/>
          <w:sz w:val="28"/>
        </w:rPr>
      </w:pPr>
      <w:r>
        <w:rPr>
          <w:rFonts w:eastAsia="方正仿宋_GBK"/>
          <w:color w:val="000000"/>
          <w:sz w:val="28"/>
        </w:rPr>
        <w:t>2023年，廊坊市发展和改革委员会安排政府采购预算465.00万元。具体内容见下表。</w:t>
      </w:r>
    </w:p>
    <w:p>
      <w:pPr>
        <w:pStyle w:val="2"/>
      </w:pPr>
    </w:p>
    <w:p>
      <w:pPr>
        <w:jc w:val="center"/>
      </w:pPr>
      <w:r>
        <w:rPr>
          <w:rFonts w:ascii="方正小标宋_GBK" w:hAnsi="方正小标宋_GBK" w:eastAsia="方正小标宋_GBK" w:cs="方正小标宋_GBK"/>
          <w:color w:val="000000"/>
          <w:sz w:val="36"/>
        </w:rPr>
        <w:t>部门政府采购预算</w:t>
      </w:r>
    </w:p>
    <w:tbl>
      <w:tblPr>
        <w:tblStyle w:val="6"/>
        <w:tblW w:w="16018"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1"/>
        <w:gridCol w:w="964"/>
        <w:gridCol w:w="1134"/>
        <w:gridCol w:w="1134"/>
        <w:gridCol w:w="709"/>
        <w:gridCol w:w="850"/>
        <w:gridCol w:w="850"/>
        <w:gridCol w:w="964"/>
        <w:gridCol w:w="964"/>
        <w:gridCol w:w="964"/>
        <w:gridCol w:w="964"/>
        <w:gridCol w:w="964"/>
        <w:gridCol w:w="964"/>
        <w:gridCol w:w="964"/>
        <w:gridCol w:w="964"/>
        <w:gridCol w:w="9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pPr>
              <w:pStyle w:val="11"/>
              <w:rPr>
                <w:sz w:val="21"/>
                <w:szCs w:val="21"/>
              </w:rPr>
            </w:pPr>
            <w:r>
              <w:rPr>
                <w:sz w:val="21"/>
                <w:szCs w:val="21"/>
              </w:rPr>
              <w:t>221廊坊市发展和改革委员会</w:t>
            </w:r>
          </w:p>
        </w:tc>
        <w:tc>
          <w:tcPr>
            <w:tcW w:w="8676" w:type="dxa"/>
            <w:gridSpan w:val="9"/>
            <w:tcBorders>
              <w:top w:val="single" w:color="FFFFFF" w:sz="6" w:space="0"/>
              <w:left w:val="single" w:color="FFFFFF" w:sz="6" w:space="0"/>
              <w:right w:val="single" w:color="FFFFFF" w:sz="6" w:space="0"/>
            </w:tcBorders>
            <w:vAlign w:val="center"/>
          </w:tcPr>
          <w:p>
            <w:pPr>
              <w:pStyle w:val="26"/>
              <w:rPr>
                <w:sz w:val="21"/>
                <w:szCs w:val="21"/>
              </w:rPr>
            </w:pPr>
            <w:r>
              <w:rPr>
                <w:sz w:val="21"/>
                <w:szCs w:val="21"/>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blHeader/>
          <w:jc w:val="center"/>
        </w:trPr>
        <w:tc>
          <w:tcPr>
            <w:tcW w:w="2665" w:type="dxa"/>
            <w:gridSpan w:val="2"/>
            <w:vAlign w:val="center"/>
          </w:tcPr>
          <w:p>
            <w:pPr>
              <w:pStyle w:val="12"/>
            </w:pPr>
            <w:r>
              <w:t>政府采购项目来源</w:t>
            </w:r>
          </w:p>
        </w:tc>
        <w:tc>
          <w:tcPr>
            <w:tcW w:w="1134" w:type="dxa"/>
            <w:vMerge w:val="restart"/>
            <w:vAlign w:val="center"/>
          </w:tcPr>
          <w:p>
            <w:pPr>
              <w:pStyle w:val="12"/>
            </w:pPr>
            <w:r>
              <w:t>采购物品名称</w:t>
            </w:r>
          </w:p>
        </w:tc>
        <w:tc>
          <w:tcPr>
            <w:tcW w:w="1134" w:type="dxa"/>
            <w:vMerge w:val="restart"/>
            <w:vAlign w:val="center"/>
          </w:tcPr>
          <w:p>
            <w:pPr>
              <w:pStyle w:val="12"/>
            </w:pPr>
            <w:r>
              <w:t>政府采购目录序号</w:t>
            </w:r>
          </w:p>
        </w:tc>
        <w:tc>
          <w:tcPr>
            <w:tcW w:w="709" w:type="dxa"/>
            <w:vMerge w:val="restart"/>
            <w:vAlign w:val="center"/>
          </w:tcPr>
          <w:p>
            <w:pPr>
              <w:pStyle w:val="12"/>
            </w:pPr>
            <w:r>
              <w:t>计量  单位</w:t>
            </w:r>
          </w:p>
        </w:tc>
        <w:tc>
          <w:tcPr>
            <w:tcW w:w="850" w:type="dxa"/>
            <w:vMerge w:val="restart"/>
            <w:vAlign w:val="center"/>
          </w:tcPr>
          <w:p>
            <w:pPr>
              <w:pStyle w:val="12"/>
            </w:pPr>
            <w:r>
              <w:t>数量</w:t>
            </w:r>
          </w:p>
        </w:tc>
        <w:tc>
          <w:tcPr>
            <w:tcW w:w="850" w:type="dxa"/>
            <w:vMerge w:val="restart"/>
            <w:vAlign w:val="center"/>
          </w:tcPr>
          <w:p>
            <w:pPr>
              <w:pStyle w:val="12"/>
            </w:pPr>
            <w:r>
              <w:t>单价</w:t>
            </w:r>
          </w:p>
        </w:tc>
        <w:tc>
          <w:tcPr>
            <w:tcW w:w="7712" w:type="dxa"/>
            <w:gridSpan w:val="8"/>
            <w:vAlign w:val="center"/>
          </w:tcPr>
          <w:p>
            <w:pPr>
              <w:pStyle w:val="12"/>
            </w:pPr>
            <w:r>
              <w:t>政府采购金额（当年部门预算安排资金）</w:t>
            </w:r>
          </w:p>
        </w:tc>
        <w:tc>
          <w:tcPr>
            <w:tcW w:w="964" w:type="dxa"/>
            <w:vMerge w:val="restart"/>
            <w:vAlign w:val="center"/>
          </w:tcPr>
          <w:p>
            <w:pPr>
              <w:pStyle w:val="12"/>
            </w:pPr>
            <w:r>
              <w:t>2023年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blHeader/>
          <w:jc w:val="center"/>
        </w:trPr>
        <w:tc>
          <w:tcPr>
            <w:tcW w:w="1701" w:type="dxa"/>
            <w:vAlign w:val="center"/>
          </w:tcPr>
          <w:p>
            <w:pPr>
              <w:pStyle w:val="12"/>
            </w:pPr>
            <w:r>
              <w:t>项目名称</w:t>
            </w:r>
          </w:p>
        </w:tc>
        <w:tc>
          <w:tcPr>
            <w:tcW w:w="964" w:type="dxa"/>
            <w:vAlign w:val="center"/>
          </w:tcPr>
          <w:p>
            <w:pPr>
              <w:pStyle w:val="12"/>
            </w:pPr>
            <w:r>
              <w:t>预算    资金</w:t>
            </w:r>
          </w:p>
        </w:tc>
        <w:tc>
          <w:tcPr>
            <w:tcW w:w="1134" w:type="dxa"/>
            <w:vMerge w:val="continue"/>
          </w:tcPr>
          <w:p/>
        </w:tc>
        <w:tc>
          <w:tcPr>
            <w:tcW w:w="1134" w:type="dxa"/>
            <w:vMerge w:val="continue"/>
          </w:tcPr>
          <w:p/>
        </w:tc>
        <w:tc>
          <w:tcPr>
            <w:tcW w:w="709" w:type="dxa"/>
            <w:vMerge w:val="continue"/>
          </w:tcPr>
          <w:p/>
        </w:tc>
        <w:tc>
          <w:tcPr>
            <w:tcW w:w="850" w:type="dxa"/>
            <w:vMerge w:val="continue"/>
          </w:tcPr>
          <w:p/>
        </w:tc>
        <w:tc>
          <w:tcPr>
            <w:tcW w:w="850" w:type="dxa"/>
            <w:vMerge w:val="continue"/>
          </w:tcPr>
          <w:p/>
        </w:tc>
        <w:tc>
          <w:tcPr>
            <w:tcW w:w="964" w:type="dxa"/>
            <w:vAlign w:val="center"/>
          </w:tcPr>
          <w:p>
            <w:pPr>
              <w:pStyle w:val="12"/>
            </w:pPr>
            <w:r>
              <w:t>合计</w:t>
            </w:r>
          </w:p>
        </w:tc>
        <w:tc>
          <w:tcPr>
            <w:tcW w:w="964" w:type="dxa"/>
            <w:vAlign w:val="center"/>
          </w:tcPr>
          <w:p>
            <w:pPr>
              <w:pStyle w:val="12"/>
            </w:pPr>
            <w:r>
              <w:t>一般公共预算拨款</w:t>
            </w:r>
          </w:p>
        </w:tc>
        <w:tc>
          <w:tcPr>
            <w:tcW w:w="964" w:type="dxa"/>
            <w:vAlign w:val="center"/>
          </w:tcPr>
          <w:p>
            <w:pPr>
              <w:pStyle w:val="12"/>
            </w:pPr>
            <w:r>
              <w:t>基金预算拨款</w:t>
            </w:r>
          </w:p>
        </w:tc>
        <w:tc>
          <w:tcPr>
            <w:tcW w:w="964" w:type="dxa"/>
            <w:vAlign w:val="center"/>
          </w:tcPr>
          <w:p>
            <w:pPr>
              <w:pStyle w:val="12"/>
            </w:pPr>
            <w:r>
              <w:t>国有资本经营预算拨款</w:t>
            </w:r>
          </w:p>
        </w:tc>
        <w:tc>
          <w:tcPr>
            <w:tcW w:w="964" w:type="dxa"/>
            <w:vAlign w:val="center"/>
          </w:tcPr>
          <w:p>
            <w:pPr>
              <w:pStyle w:val="12"/>
            </w:pPr>
            <w:r>
              <w:t>财政专户核拨</w:t>
            </w:r>
          </w:p>
        </w:tc>
        <w:tc>
          <w:tcPr>
            <w:tcW w:w="964" w:type="dxa"/>
            <w:vAlign w:val="center"/>
          </w:tcPr>
          <w:p>
            <w:pPr>
              <w:pStyle w:val="12"/>
            </w:pPr>
            <w:r>
              <w:t>单位    资金</w:t>
            </w:r>
          </w:p>
        </w:tc>
        <w:tc>
          <w:tcPr>
            <w:tcW w:w="964" w:type="dxa"/>
            <w:vAlign w:val="center"/>
          </w:tcPr>
          <w:p>
            <w:pPr>
              <w:pStyle w:val="12"/>
            </w:pPr>
            <w:r>
              <w:t>财政拨    款结转</w:t>
            </w:r>
          </w:p>
        </w:tc>
        <w:tc>
          <w:tcPr>
            <w:tcW w:w="964" w:type="dxa"/>
            <w:vAlign w:val="center"/>
          </w:tcPr>
          <w:p>
            <w:pPr>
              <w:pStyle w:val="12"/>
            </w:pPr>
            <w:r>
              <w:t>非财政    拨款结    转结余</w:t>
            </w:r>
          </w:p>
        </w:tc>
        <w:tc>
          <w:tcPr>
            <w:tcW w:w="96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377" w:hRule="atLeast"/>
          <w:jc w:val="center"/>
        </w:trPr>
        <w:tc>
          <w:tcPr>
            <w:tcW w:w="1701" w:type="dxa"/>
            <w:vAlign w:val="center"/>
          </w:tcPr>
          <w:p>
            <w:pPr>
              <w:pStyle w:val="16"/>
            </w:pPr>
            <w:r>
              <w:t>合  计</w:t>
            </w:r>
          </w:p>
        </w:tc>
        <w:tc>
          <w:tcPr>
            <w:tcW w:w="964" w:type="dxa"/>
            <w:vAlign w:val="center"/>
          </w:tcPr>
          <w:p>
            <w:pPr>
              <w:pStyle w:val="17"/>
            </w:pPr>
          </w:p>
        </w:tc>
        <w:tc>
          <w:tcPr>
            <w:tcW w:w="1134" w:type="dxa"/>
            <w:vAlign w:val="center"/>
          </w:tcPr>
          <w:p>
            <w:pPr>
              <w:pStyle w:val="18"/>
            </w:pPr>
          </w:p>
        </w:tc>
        <w:tc>
          <w:tcPr>
            <w:tcW w:w="1134" w:type="dxa"/>
            <w:vAlign w:val="center"/>
          </w:tcPr>
          <w:p>
            <w:pPr>
              <w:pStyle w:val="18"/>
            </w:pPr>
          </w:p>
        </w:tc>
        <w:tc>
          <w:tcPr>
            <w:tcW w:w="709" w:type="dxa"/>
            <w:vAlign w:val="center"/>
          </w:tcPr>
          <w:p>
            <w:pPr>
              <w:pStyle w:val="16"/>
            </w:pPr>
          </w:p>
        </w:tc>
        <w:tc>
          <w:tcPr>
            <w:tcW w:w="850" w:type="dxa"/>
            <w:vAlign w:val="center"/>
          </w:tcPr>
          <w:p>
            <w:pPr>
              <w:pStyle w:val="17"/>
            </w:pPr>
          </w:p>
        </w:tc>
        <w:tc>
          <w:tcPr>
            <w:tcW w:w="850" w:type="dxa"/>
            <w:vAlign w:val="center"/>
          </w:tcPr>
          <w:p>
            <w:pPr>
              <w:pStyle w:val="17"/>
            </w:pPr>
          </w:p>
        </w:tc>
        <w:tc>
          <w:tcPr>
            <w:tcW w:w="964" w:type="dxa"/>
            <w:vAlign w:val="center"/>
          </w:tcPr>
          <w:p>
            <w:pPr>
              <w:pStyle w:val="17"/>
            </w:pPr>
            <w:r>
              <w:t>465.00</w:t>
            </w:r>
          </w:p>
        </w:tc>
        <w:tc>
          <w:tcPr>
            <w:tcW w:w="964" w:type="dxa"/>
            <w:vAlign w:val="center"/>
          </w:tcPr>
          <w:p>
            <w:pPr>
              <w:pStyle w:val="17"/>
            </w:pPr>
            <w:r>
              <w:t>465.00</w:t>
            </w:r>
          </w:p>
        </w:tc>
        <w:tc>
          <w:tcPr>
            <w:tcW w:w="964"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pPr>
            <w:r>
              <w:t>465.00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701" w:type="dxa"/>
            <w:vAlign w:val="center"/>
          </w:tcPr>
          <w:p>
            <w:pPr>
              <w:pStyle w:val="16"/>
              <w:rPr>
                <w:rFonts w:hint="eastAsia"/>
                <w:lang w:val="en-US" w:eastAsia="zh-CN"/>
              </w:rPr>
            </w:pPr>
            <w:r>
              <w:t>廊坊市发展和改革委员会</w:t>
            </w:r>
            <w:r>
              <w:rPr>
                <w:rFonts w:hint="eastAsia"/>
                <w:lang w:val="en-US" w:eastAsia="zh-CN"/>
              </w:rPr>
              <w:t>部门</w:t>
            </w:r>
          </w:p>
          <w:p>
            <w:pPr>
              <w:pStyle w:val="16"/>
            </w:pPr>
            <w:bookmarkStart w:id="9" w:name="_GoBack"/>
            <w:bookmarkEnd w:id="9"/>
            <w:r>
              <w:t>小计</w:t>
            </w:r>
          </w:p>
        </w:tc>
        <w:tc>
          <w:tcPr>
            <w:tcW w:w="964" w:type="dxa"/>
            <w:vAlign w:val="center"/>
          </w:tcPr>
          <w:p>
            <w:pPr>
              <w:pStyle w:val="17"/>
            </w:pPr>
          </w:p>
        </w:tc>
        <w:tc>
          <w:tcPr>
            <w:tcW w:w="1134" w:type="dxa"/>
            <w:vAlign w:val="center"/>
          </w:tcPr>
          <w:p>
            <w:pPr>
              <w:pStyle w:val="18"/>
            </w:pPr>
          </w:p>
        </w:tc>
        <w:tc>
          <w:tcPr>
            <w:tcW w:w="1134" w:type="dxa"/>
            <w:vAlign w:val="center"/>
          </w:tcPr>
          <w:p>
            <w:pPr>
              <w:pStyle w:val="18"/>
            </w:pPr>
          </w:p>
        </w:tc>
        <w:tc>
          <w:tcPr>
            <w:tcW w:w="709" w:type="dxa"/>
            <w:vAlign w:val="center"/>
          </w:tcPr>
          <w:p>
            <w:pPr>
              <w:pStyle w:val="16"/>
            </w:pPr>
          </w:p>
        </w:tc>
        <w:tc>
          <w:tcPr>
            <w:tcW w:w="850" w:type="dxa"/>
            <w:vAlign w:val="center"/>
          </w:tcPr>
          <w:p>
            <w:pPr>
              <w:pStyle w:val="17"/>
            </w:pPr>
          </w:p>
        </w:tc>
        <w:tc>
          <w:tcPr>
            <w:tcW w:w="850" w:type="dxa"/>
            <w:vAlign w:val="center"/>
          </w:tcPr>
          <w:p>
            <w:pPr>
              <w:pStyle w:val="17"/>
            </w:pPr>
          </w:p>
        </w:tc>
        <w:tc>
          <w:tcPr>
            <w:tcW w:w="964" w:type="dxa"/>
            <w:vAlign w:val="center"/>
          </w:tcPr>
          <w:p>
            <w:pPr>
              <w:pStyle w:val="17"/>
            </w:pPr>
            <w:r>
              <w:t>465.00</w:t>
            </w:r>
          </w:p>
        </w:tc>
        <w:tc>
          <w:tcPr>
            <w:tcW w:w="964" w:type="dxa"/>
            <w:vAlign w:val="center"/>
          </w:tcPr>
          <w:p>
            <w:pPr>
              <w:pStyle w:val="17"/>
            </w:pPr>
            <w:r>
              <w:t>465.00</w:t>
            </w:r>
          </w:p>
        </w:tc>
        <w:tc>
          <w:tcPr>
            <w:tcW w:w="964"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pPr>
            <w:r>
              <w:t>465.00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701" w:type="dxa"/>
            <w:vAlign w:val="center"/>
          </w:tcPr>
          <w:p>
            <w:pPr>
              <w:pStyle w:val="14"/>
            </w:pPr>
            <w:r>
              <w:t>市发改委工作经费</w:t>
            </w:r>
          </w:p>
        </w:tc>
        <w:tc>
          <w:tcPr>
            <w:tcW w:w="964" w:type="dxa"/>
            <w:vAlign w:val="center"/>
          </w:tcPr>
          <w:p>
            <w:pPr>
              <w:pStyle w:val="13"/>
            </w:pPr>
            <w:r>
              <w:t>225.00</w:t>
            </w:r>
          </w:p>
        </w:tc>
        <w:tc>
          <w:tcPr>
            <w:tcW w:w="1134" w:type="dxa"/>
            <w:vAlign w:val="center"/>
          </w:tcPr>
          <w:p>
            <w:pPr>
              <w:pStyle w:val="14"/>
            </w:pPr>
            <w:r>
              <w:t>其他办公设备</w:t>
            </w:r>
          </w:p>
        </w:tc>
        <w:tc>
          <w:tcPr>
            <w:tcW w:w="1134" w:type="dxa"/>
            <w:vAlign w:val="center"/>
          </w:tcPr>
          <w:p>
            <w:pPr>
              <w:pStyle w:val="14"/>
            </w:pPr>
            <w:r>
              <w:t>A02029900</w:t>
            </w:r>
          </w:p>
        </w:tc>
        <w:tc>
          <w:tcPr>
            <w:tcW w:w="709" w:type="dxa"/>
            <w:vAlign w:val="center"/>
          </w:tcPr>
          <w:p>
            <w:pPr>
              <w:pStyle w:val="15"/>
            </w:pPr>
            <w:r>
              <w:t>项</w:t>
            </w:r>
          </w:p>
        </w:tc>
        <w:tc>
          <w:tcPr>
            <w:tcW w:w="850" w:type="dxa"/>
            <w:vAlign w:val="center"/>
          </w:tcPr>
          <w:p>
            <w:pPr>
              <w:pStyle w:val="13"/>
            </w:pPr>
            <w:r>
              <w:t>1</w:t>
            </w:r>
          </w:p>
        </w:tc>
        <w:tc>
          <w:tcPr>
            <w:tcW w:w="850" w:type="dxa"/>
            <w:vAlign w:val="center"/>
          </w:tcPr>
          <w:p>
            <w:pPr>
              <w:pStyle w:val="13"/>
            </w:pPr>
            <w:r>
              <w:t>5.50</w:t>
            </w:r>
          </w:p>
        </w:tc>
        <w:tc>
          <w:tcPr>
            <w:tcW w:w="964" w:type="dxa"/>
            <w:vAlign w:val="center"/>
          </w:tcPr>
          <w:p>
            <w:pPr>
              <w:pStyle w:val="13"/>
            </w:pPr>
            <w:r>
              <w:t>5.50</w:t>
            </w:r>
          </w:p>
        </w:tc>
        <w:tc>
          <w:tcPr>
            <w:tcW w:w="964" w:type="dxa"/>
            <w:vAlign w:val="center"/>
          </w:tcPr>
          <w:p>
            <w:pPr>
              <w:pStyle w:val="13"/>
            </w:pPr>
            <w:r>
              <w:t>5.50</w:t>
            </w:r>
          </w:p>
        </w:tc>
        <w:tc>
          <w:tcPr>
            <w:tcW w:w="964" w:type="dxa"/>
            <w:vAlign w:val="center"/>
          </w:tcPr>
          <w:p>
            <w:pPr>
              <w:pStyle w:val="13"/>
            </w:pPr>
          </w:p>
        </w:tc>
        <w:tc>
          <w:tcPr>
            <w:tcW w:w="964" w:type="dxa"/>
            <w:vAlign w:val="center"/>
          </w:tcPr>
          <w:p>
            <w:pPr>
              <w:pStyle w:val="13"/>
            </w:pPr>
          </w:p>
        </w:tc>
        <w:tc>
          <w:tcPr>
            <w:tcW w:w="964" w:type="dxa"/>
            <w:vAlign w:val="center"/>
          </w:tcPr>
          <w:p>
            <w:pPr>
              <w:pStyle w:val="13"/>
            </w:pPr>
          </w:p>
        </w:tc>
        <w:tc>
          <w:tcPr>
            <w:tcW w:w="964" w:type="dxa"/>
            <w:vAlign w:val="center"/>
          </w:tcPr>
          <w:p>
            <w:pPr>
              <w:pStyle w:val="13"/>
            </w:pPr>
          </w:p>
        </w:tc>
        <w:tc>
          <w:tcPr>
            <w:tcW w:w="964" w:type="dxa"/>
            <w:vAlign w:val="center"/>
          </w:tcPr>
          <w:p>
            <w:pPr>
              <w:pStyle w:val="13"/>
            </w:pPr>
          </w:p>
        </w:tc>
        <w:tc>
          <w:tcPr>
            <w:tcW w:w="964" w:type="dxa"/>
            <w:vAlign w:val="center"/>
          </w:tcPr>
          <w:p>
            <w:pPr>
              <w:pStyle w:val="13"/>
            </w:pPr>
          </w:p>
        </w:tc>
        <w:tc>
          <w:tcPr>
            <w:tcW w:w="964" w:type="dxa"/>
            <w:vAlign w:val="center"/>
          </w:tcPr>
          <w:p>
            <w:pPr>
              <w:pStyle w:val="13"/>
            </w:pPr>
            <w:r>
              <w:t>5.50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701" w:type="dxa"/>
            <w:vAlign w:val="center"/>
          </w:tcPr>
          <w:p>
            <w:pPr>
              <w:pStyle w:val="14"/>
            </w:pPr>
            <w:r>
              <w:t>市发改委工作经费</w:t>
            </w:r>
          </w:p>
        </w:tc>
        <w:tc>
          <w:tcPr>
            <w:tcW w:w="964" w:type="dxa"/>
            <w:vAlign w:val="center"/>
          </w:tcPr>
          <w:p>
            <w:pPr>
              <w:pStyle w:val="13"/>
            </w:pPr>
            <w:r>
              <w:t>225.00</w:t>
            </w:r>
          </w:p>
        </w:tc>
        <w:tc>
          <w:tcPr>
            <w:tcW w:w="1134" w:type="dxa"/>
            <w:vAlign w:val="center"/>
          </w:tcPr>
          <w:p>
            <w:pPr>
              <w:pStyle w:val="14"/>
            </w:pPr>
            <w:r>
              <w:t>物业管理服务</w:t>
            </w:r>
          </w:p>
        </w:tc>
        <w:tc>
          <w:tcPr>
            <w:tcW w:w="1134" w:type="dxa"/>
            <w:vAlign w:val="center"/>
          </w:tcPr>
          <w:p>
            <w:pPr>
              <w:pStyle w:val="14"/>
            </w:pPr>
            <w:r>
              <w:t>C21040000</w:t>
            </w:r>
          </w:p>
        </w:tc>
        <w:tc>
          <w:tcPr>
            <w:tcW w:w="709" w:type="dxa"/>
            <w:vAlign w:val="center"/>
          </w:tcPr>
          <w:p>
            <w:pPr>
              <w:pStyle w:val="15"/>
            </w:pPr>
            <w:r>
              <w:t>项</w:t>
            </w:r>
          </w:p>
        </w:tc>
        <w:tc>
          <w:tcPr>
            <w:tcW w:w="850" w:type="dxa"/>
            <w:vAlign w:val="center"/>
          </w:tcPr>
          <w:p>
            <w:pPr>
              <w:pStyle w:val="13"/>
            </w:pPr>
            <w:r>
              <w:t>1</w:t>
            </w:r>
          </w:p>
        </w:tc>
        <w:tc>
          <w:tcPr>
            <w:tcW w:w="850" w:type="dxa"/>
            <w:vAlign w:val="center"/>
          </w:tcPr>
          <w:p>
            <w:pPr>
              <w:pStyle w:val="13"/>
            </w:pPr>
            <w:r>
              <w:t>215.00</w:t>
            </w:r>
          </w:p>
        </w:tc>
        <w:tc>
          <w:tcPr>
            <w:tcW w:w="964" w:type="dxa"/>
            <w:vAlign w:val="center"/>
          </w:tcPr>
          <w:p>
            <w:pPr>
              <w:pStyle w:val="13"/>
            </w:pPr>
            <w:r>
              <w:t>215.00</w:t>
            </w:r>
          </w:p>
        </w:tc>
        <w:tc>
          <w:tcPr>
            <w:tcW w:w="964" w:type="dxa"/>
            <w:vAlign w:val="center"/>
          </w:tcPr>
          <w:p>
            <w:pPr>
              <w:pStyle w:val="13"/>
            </w:pPr>
            <w:r>
              <w:t>215.00</w:t>
            </w:r>
          </w:p>
        </w:tc>
        <w:tc>
          <w:tcPr>
            <w:tcW w:w="964" w:type="dxa"/>
            <w:vAlign w:val="center"/>
          </w:tcPr>
          <w:p>
            <w:pPr>
              <w:pStyle w:val="13"/>
            </w:pPr>
          </w:p>
        </w:tc>
        <w:tc>
          <w:tcPr>
            <w:tcW w:w="964" w:type="dxa"/>
            <w:vAlign w:val="center"/>
          </w:tcPr>
          <w:p>
            <w:pPr>
              <w:pStyle w:val="13"/>
            </w:pPr>
          </w:p>
        </w:tc>
        <w:tc>
          <w:tcPr>
            <w:tcW w:w="964" w:type="dxa"/>
            <w:vAlign w:val="center"/>
          </w:tcPr>
          <w:p>
            <w:pPr>
              <w:pStyle w:val="13"/>
            </w:pPr>
          </w:p>
        </w:tc>
        <w:tc>
          <w:tcPr>
            <w:tcW w:w="964" w:type="dxa"/>
            <w:vAlign w:val="center"/>
          </w:tcPr>
          <w:p>
            <w:pPr>
              <w:pStyle w:val="13"/>
            </w:pPr>
          </w:p>
        </w:tc>
        <w:tc>
          <w:tcPr>
            <w:tcW w:w="964" w:type="dxa"/>
            <w:vAlign w:val="center"/>
          </w:tcPr>
          <w:p>
            <w:pPr>
              <w:pStyle w:val="13"/>
            </w:pPr>
          </w:p>
        </w:tc>
        <w:tc>
          <w:tcPr>
            <w:tcW w:w="964" w:type="dxa"/>
            <w:vAlign w:val="center"/>
          </w:tcPr>
          <w:p>
            <w:pPr>
              <w:pStyle w:val="13"/>
            </w:pPr>
          </w:p>
        </w:tc>
        <w:tc>
          <w:tcPr>
            <w:tcW w:w="964" w:type="dxa"/>
            <w:vAlign w:val="center"/>
          </w:tcPr>
          <w:p>
            <w:pPr>
              <w:pStyle w:val="13"/>
            </w:pPr>
            <w:r>
              <w:t>215.00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701" w:type="dxa"/>
            <w:vAlign w:val="center"/>
          </w:tcPr>
          <w:p>
            <w:pPr>
              <w:pStyle w:val="14"/>
            </w:pPr>
            <w:r>
              <w:t>办公楼装修改造项目资金</w:t>
            </w:r>
          </w:p>
        </w:tc>
        <w:tc>
          <w:tcPr>
            <w:tcW w:w="964" w:type="dxa"/>
            <w:vAlign w:val="center"/>
          </w:tcPr>
          <w:p>
            <w:pPr>
              <w:pStyle w:val="13"/>
            </w:pPr>
            <w:r>
              <w:t>94.50</w:t>
            </w:r>
          </w:p>
        </w:tc>
        <w:tc>
          <w:tcPr>
            <w:tcW w:w="1134" w:type="dxa"/>
            <w:vAlign w:val="center"/>
          </w:tcPr>
          <w:p>
            <w:pPr>
              <w:pStyle w:val="14"/>
            </w:pPr>
            <w:r>
              <w:t>装修设计服务</w:t>
            </w:r>
          </w:p>
        </w:tc>
        <w:tc>
          <w:tcPr>
            <w:tcW w:w="1134" w:type="dxa"/>
            <w:vAlign w:val="center"/>
          </w:tcPr>
          <w:p>
            <w:pPr>
              <w:pStyle w:val="14"/>
            </w:pPr>
            <w:r>
              <w:t>C11030000</w:t>
            </w:r>
          </w:p>
        </w:tc>
        <w:tc>
          <w:tcPr>
            <w:tcW w:w="709" w:type="dxa"/>
            <w:vAlign w:val="center"/>
          </w:tcPr>
          <w:p>
            <w:pPr>
              <w:pStyle w:val="15"/>
            </w:pPr>
            <w:r>
              <w:t>项</w:t>
            </w:r>
          </w:p>
        </w:tc>
        <w:tc>
          <w:tcPr>
            <w:tcW w:w="850" w:type="dxa"/>
            <w:vAlign w:val="center"/>
          </w:tcPr>
          <w:p>
            <w:pPr>
              <w:pStyle w:val="13"/>
            </w:pPr>
            <w:r>
              <w:t>1</w:t>
            </w:r>
          </w:p>
        </w:tc>
        <w:tc>
          <w:tcPr>
            <w:tcW w:w="850" w:type="dxa"/>
            <w:vAlign w:val="center"/>
          </w:tcPr>
          <w:p>
            <w:pPr>
              <w:pStyle w:val="13"/>
            </w:pPr>
            <w:r>
              <w:t>94.50</w:t>
            </w:r>
          </w:p>
        </w:tc>
        <w:tc>
          <w:tcPr>
            <w:tcW w:w="964" w:type="dxa"/>
            <w:vAlign w:val="center"/>
          </w:tcPr>
          <w:p>
            <w:pPr>
              <w:pStyle w:val="13"/>
            </w:pPr>
            <w:r>
              <w:t>94.50</w:t>
            </w:r>
          </w:p>
        </w:tc>
        <w:tc>
          <w:tcPr>
            <w:tcW w:w="964" w:type="dxa"/>
            <w:vAlign w:val="center"/>
          </w:tcPr>
          <w:p>
            <w:pPr>
              <w:pStyle w:val="13"/>
            </w:pPr>
            <w:r>
              <w:t>94.50</w:t>
            </w:r>
          </w:p>
        </w:tc>
        <w:tc>
          <w:tcPr>
            <w:tcW w:w="964" w:type="dxa"/>
            <w:vAlign w:val="center"/>
          </w:tcPr>
          <w:p>
            <w:pPr>
              <w:pStyle w:val="13"/>
            </w:pPr>
          </w:p>
        </w:tc>
        <w:tc>
          <w:tcPr>
            <w:tcW w:w="964" w:type="dxa"/>
            <w:vAlign w:val="center"/>
          </w:tcPr>
          <w:p>
            <w:pPr>
              <w:pStyle w:val="13"/>
            </w:pPr>
          </w:p>
        </w:tc>
        <w:tc>
          <w:tcPr>
            <w:tcW w:w="964" w:type="dxa"/>
            <w:vAlign w:val="center"/>
          </w:tcPr>
          <w:p>
            <w:pPr>
              <w:pStyle w:val="13"/>
            </w:pPr>
          </w:p>
        </w:tc>
        <w:tc>
          <w:tcPr>
            <w:tcW w:w="964" w:type="dxa"/>
            <w:vAlign w:val="center"/>
          </w:tcPr>
          <w:p>
            <w:pPr>
              <w:pStyle w:val="13"/>
            </w:pPr>
          </w:p>
        </w:tc>
        <w:tc>
          <w:tcPr>
            <w:tcW w:w="964" w:type="dxa"/>
            <w:vAlign w:val="center"/>
          </w:tcPr>
          <w:p>
            <w:pPr>
              <w:pStyle w:val="13"/>
            </w:pPr>
          </w:p>
        </w:tc>
        <w:tc>
          <w:tcPr>
            <w:tcW w:w="964" w:type="dxa"/>
            <w:vAlign w:val="center"/>
          </w:tcPr>
          <w:p>
            <w:pPr>
              <w:pStyle w:val="13"/>
            </w:pPr>
          </w:p>
        </w:tc>
        <w:tc>
          <w:tcPr>
            <w:tcW w:w="964" w:type="dxa"/>
            <w:vAlign w:val="center"/>
          </w:tcPr>
          <w:p>
            <w:pPr>
              <w:pStyle w:val="13"/>
            </w:pPr>
            <w:r>
              <w:t>94.50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cantSplit/>
          <w:jc w:val="center"/>
        </w:trPr>
        <w:tc>
          <w:tcPr>
            <w:tcW w:w="1701" w:type="dxa"/>
            <w:vAlign w:val="center"/>
          </w:tcPr>
          <w:p>
            <w:pPr>
              <w:pStyle w:val="14"/>
            </w:pPr>
            <w:r>
              <w:t>救灾物资购置经费</w:t>
            </w:r>
          </w:p>
        </w:tc>
        <w:tc>
          <w:tcPr>
            <w:tcW w:w="964" w:type="dxa"/>
            <w:vAlign w:val="center"/>
          </w:tcPr>
          <w:p>
            <w:pPr>
              <w:pStyle w:val="13"/>
            </w:pPr>
            <w:r>
              <w:t>150.00</w:t>
            </w:r>
          </w:p>
        </w:tc>
        <w:tc>
          <w:tcPr>
            <w:tcW w:w="1134" w:type="dxa"/>
            <w:vAlign w:val="center"/>
          </w:tcPr>
          <w:p>
            <w:pPr>
              <w:pStyle w:val="14"/>
            </w:pPr>
            <w:r>
              <w:t>其他室外装具</w:t>
            </w:r>
          </w:p>
        </w:tc>
        <w:tc>
          <w:tcPr>
            <w:tcW w:w="1134" w:type="dxa"/>
            <w:vAlign w:val="center"/>
          </w:tcPr>
          <w:p>
            <w:pPr>
              <w:pStyle w:val="14"/>
            </w:pPr>
            <w:r>
              <w:t>A05030699</w:t>
            </w:r>
          </w:p>
        </w:tc>
        <w:tc>
          <w:tcPr>
            <w:tcW w:w="709" w:type="dxa"/>
            <w:vAlign w:val="center"/>
          </w:tcPr>
          <w:p>
            <w:pPr>
              <w:pStyle w:val="15"/>
            </w:pPr>
            <w:r>
              <w:t>项</w:t>
            </w:r>
          </w:p>
        </w:tc>
        <w:tc>
          <w:tcPr>
            <w:tcW w:w="850" w:type="dxa"/>
            <w:vAlign w:val="center"/>
          </w:tcPr>
          <w:p>
            <w:pPr>
              <w:pStyle w:val="13"/>
            </w:pPr>
            <w:r>
              <w:t>1</w:t>
            </w:r>
          </w:p>
        </w:tc>
        <w:tc>
          <w:tcPr>
            <w:tcW w:w="850" w:type="dxa"/>
            <w:vAlign w:val="center"/>
          </w:tcPr>
          <w:p>
            <w:pPr>
              <w:pStyle w:val="13"/>
            </w:pPr>
            <w:r>
              <w:t>150.00</w:t>
            </w:r>
          </w:p>
        </w:tc>
        <w:tc>
          <w:tcPr>
            <w:tcW w:w="964" w:type="dxa"/>
            <w:vAlign w:val="center"/>
          </w:tcPr>
          <w:p>
            <w:pPr>
              <w:pStyle w:val="13"/>
            </w:pPr>
            <w:r>
              <w:t>150.00</w:t>
            </w:r>
          </w:p>
        </w:tc>
        <w:tc>
          <w:tcPr>
            <w:tcW w:w="964" w:type="dxa"/>
            <w:vAlign w:val="center"/>
          </w:tcPr>
          <w:p>
            <w:pPr>
              <w:pStyle w:val="13"/>
            </w:pPr>
            <w:r>
              <w:t>150.00</w:t>
            </w:r>
          </w:p>
        </w:tc>
        <w:tc>
          <w:tcPr>
            <w:tcW w:w="964" w:type="dxa"/>
            <w:vAlign w:val="center"/>
          </w:tcPr>
          <w:p>
            <w:pPr>
              <w:pStyle w:val="13"/>
            </w:pPr>
          </w:p>
        </w:tc>
        <w:tc>
          <w:tcPr>
            <w:tcW w:w="964" w:type="dxa"/>
            <w:vAlign w:val="center"/>
          </w:tcPr>
          <w:p>
            <w:pPr>
              <w:pStyle w:val="13"/>
            </w:pPr>
          </w:p>
        </w:tc>
        <w:tc>
          <w:tcPr>
            <w:tcW w:w="964" w:type="dxa"/>
            <w:vAlign w:val="center"/>
          </w:tcPr>
          <w:p>
            <w:pPr>
              <w:pStyle w:val="13"/>
            </w:pPr>
          </w:p>
        </w:tc>
        <w:tc>
          <w:tcPr>
            <w:tcW w:w="964" w:type="dxa"/>
            <w:vAlign w:val="center"/>
          </w:tcPr>
          <w:p>
            <w:pPr>
              <w:pStyle w:val="13"/>
            </w:pPr>
          </w:p>
        </w:tc>
        <w:tc>
          <w:tcPr>
            <w:tcW w:w="964" w:type="dxa"/>
            <w:vAlign w:val="center"/>
          </w:tcPr>
          <w:p>
            <w:pPr>
              <w:pStyle w:val="13"/>
            </w:pPr>
          </w:p>
        </w:tc>
        <w:tc>
          <w:tcPr>
            <w:tcW w:w="964" w:type="dxa"/>
            <w:vAlign w:val="center"/>
          </w:tcPr>
          <w:p>
            <w:pPr>
              <w:pStyle w:val="13"/>
            </w:pPr>
          </w:p>
        </w:tc>
        <w:tc>
          <w:tcPr>
            <w:tcW w:w="964" w:type="dxa"/>
            <w:vAlign w:val="center"/>
          </w:tcPr>
          <w:p>
            <w:pPr>
              <w:pStyle w:val="13"/>
            </w:pPr>
            <w:r>
              <w:t>150.00</w:t>
            </w:r>
          </w:p>
        </w:tc>
      </w:tr>
    </w:tbl>
    <w:p>
      <w:pPr>
        <w:spacing w:line="500" w:lineRule="exact"/>
        <w:ind w:firstLine="420"/>
      </w:pPr>
      <w:r>
        <w:rPr>
          <w:rFonts w:ascii="方正书宋_GBK" w:hAnsi="方正书宋_GBK" w:eastAsia="方正书宋_GBK" w:cs="方正书宋_GBK"/>
          <w:color w:val="000000"/>
          <w:sz w:val="21"/>
        </w:rPr>
        <w:t>注：同一采购目录序号的物品，其单价会因配置规格不同而变动，均符合资产配置标准。涉密采购事项按照相关规定执行。</w:t>
      </w:r>
    </w:p>
    <w:p>
      <w:pPr>
        <w:ind w:firstLine="640"/>
      </w:pPr>
    </w:p>
    <w:p>
      <w:pPr>
        <w:spacing w:before="10" w:after="10"/>
        <w:ind w:firstLine="640"/>
        <w:outlineLvl w:val="2"/>
      </w:pPr>
      <w:bookmarkStart w:id="6" w:name="_Toc_3_3_0000000016"/>
      <w:r>
        <w:rPr>
          <w:rFonts w:ascii="黑体" w:hAnsi="黑体" w:eastAsia="黑体" w:cs="黑体"/>
          <w:color w:val="000000"/>
          <w:sz w:val="32"/>
        </w:rPr>
        <w:t>七、国有资产信息</w:t>
      </w:r>
      <w:bookmarkEnd w:id="6"/>
    </w:p>
    <w:p>
      <w:pPr>
        <w:spacing w:line="500" w:lineRule="exact"/>
        <w:ind w:firstLine="560"/>
      </w:pPr>
      <w:r>
        <w:rPr>
          <w:rFonts w:eastAsia="方正仿宋_GBK"/>
          <w:color w:val="000000"/>
          <w:sz w:val="28"/>
        </w:rPr>
        <w:t>廊坊市发展和改革委员会（含所属单位）上年末固定资产金额为</w:t>
      </w:r>
      <w:r>
        <w:rPr>
          <w:rFonts w:hint="eastAsia" w:eastAsia="方正仿宋_GBK"/>
          <w:color w:val="000000"/>
          <w:sz w:val="28"/>
          <w:lang w:val="en-US" w:eastAsia="zh-CN"/>
        </w:rPr>
        <w:t>3951.88</w:t>
      </w:r>
      <w:r>
        <w:rPr>
          <w:rFonts w:eastAsia="方正仿宋_GBK"/>
          <w:color w:val="000000"/>
          <w:sz w:val="28"/>
        </w:rPr>
        <w:t>万元（详见下表）。本年度拟购置固定资产总额为</w:t>
      </w:r>
      <w:r>
        <w:rPr>
          <w:rFonts w:hint="eastAsia" w:eastAsia="方正仿宋_GBK"/>
          <w:color w:val="000000"/>
          <w:sz w:val="28"/>
          <w:lang w:val="en-US" w:eastAsia="zh-CN"/>
        </w:rPr>
        <w:t>5.50</w:t>
      </w:r>
      <w:r>
        <w:rPr>
          <w:rFonts w:eastAsia="方正仿宋_GBK"/>
          <w:color w:val="000000"/>
          <w:sz w:val="28"/>
        </w:rPr>
        <w:t>万元，已按要求列入政府采购预算，详见政府采购预算表。</w:t>
      </w:r>
    </w:p>
    <w:tbl>
      <w:tblPr>
        <w:tblStyle w:val="6"/>
        <w:tblW w:w="13482" w:type="dxa"/>
        <w:tblInd w:w="93" w:type="dxa"/>
        <w:tblLayout w:type="fixed"/>
        <w:tblCellMar>
          <w:top w:w="0" w:type="dxa"/>
          <w:left w:w="108" w:type="dxa"/>
          <w:bottom w:w="0" w:type="dxa"/>
          <w:right w:w="108" w:type="dxa"/>
        </w:tblCellMar>
      </w:tblPr>
      <w:tblGrid>
        <w:gridCol w:w="5224"/>
        <w:gridCol w:w="3155"/>
        <w:gridCol w:w="5103"/>
      </w:tblGrid>
      <w:tr>
        <w:tblPrEx>
          <w:tblLayout w:type="fixed"/>
          <w:tblCellMar>
            <w:top w:w="0" w:type="dxa"/>
            <w:left w:w="108" w:type="dxa"/>
            <w:bottom w:w="0" w:type="dxa"/>
            <w:right w:w="108" w:type="dxa"/>
          </w:tblCellMar>
        </w:tblPrEx>
        <w:trPr>
          <w:trHeight w:val="705" w:hRule="atLeast"/>
        </w:trPr>
        <w:tc>
          <w:tcPr>
            <w:tcW w:w="13482" w:type="dxa"/>
            <w:gridSpan w:val="3"/>
            <w:tcBorders>
              <w:top w:val="nil"/>
              <w:left w:val="nil"/>
              <w:bottom w:val="nil"/>
              <w:right w:val="nil"/>
            </w:tcBorders>
            <w:shd w:val="clear" w:color="auto" w:fill="auto"/>
            <w:noWrap/>
            <w:vAlign w:val="center"/>
          </w:tcPr>
          <w:p>
            <w:pPr>
              <w:widowControl/>
              <w:spacing w:line="584" w:lineRule="exact"/>
              <w:jc w:val="center"/>
              <w:rPr>
                <w:rFonts w:ascii="Times New Roman" w:hAnsi="Times New Roman" w:eastAsia="仿宋_GB2312" w:cs="Times New Roman"/>
                <w:b/>
                <w:bCs/>
                <w:kern w:val="0"/>
                <w:sz w:val="32"/>
                <w:szCs w:val="32"/>
              </w:rPr>
            </w:pPr>
            <w:r>
              <w:rPr>
                <w:rFonts w:ascii="Times New Roman" w:hAnsi="Times New Roman" w:eastAsia="仿宋_GB2312" w:cs="Times New Roman"/>
                <w:b/>
                <w:bCs/>
                <w:kern w:val="0"/>
                <w:sz w:val="32"/>
                <w:szCs w:val="32"/>
              </w:rPr>
              <w:t>廊坊市市直部门固定资产占用情况表</w:t>
            </w:r>
          </w:p>
        </w:tc>
      </w:tr>
      <w:tr>
        <w:tblPrEx>
          <w:tblLayout w:type="fixed"/>
          <w:tblCellMar>
            <w:top w:w="0" w:type="dxa"/>
            <w:left w:w="108" w:type="dxa"/>
            <w:bottom w:w="0" w:type="dxa"/>
            <w:right w:w="108" w:type="dxa"/>
          </w:tblCellMar>
        </w:tblPrEx>
        <w:trPr>
          <w:trHeight w:val="510" w:hRule="atLeast"/>
        </w:trPr>
        <w:tc>
          <w:tcPr>
            <w:tcW w:w="8379" w:type="dxa"/>
            <w:gridSpan w:val="2"/>
            <w:tcBorders>
              <w:top w:val="nil"/>
              <w:left w:val="nil"/>
              <w:bottom w:val="nil"/>
              <w:right w:val="nil"/>
            </w:tcBorders>
            <w:shd w:val="clear" w:color="auto" w:fill="auto"/>
            <w:noWrap/>
            <w:vAlign w:val="center"/>
          </w:tcPr>
          <w:p>
            <w:pPr>
              <w:widowControl/>
              <w:spacing w:line="584" w:lineRule="exact"/>
              <w:jc w:val="left"/>
              <w:rPr>
                <w:rFonts w:hint="eastAsia" w:ascii="Times New Roman" w:hAnsi="Times New Roman" w:eastAsia="仿宋_GB2312" w:cs="Times New Roman"/>
                <w:kern w:val="0"/>
                <w:sz w:val="22"/>
                <w:lang w:eastAsia="zh-CN"/>
              </w:rPr>
            </w:pPr>
            <w:r>
              <w:rPr>
                <w:rFonts w:ascii="Times New Roman" w:hAnsi="Times New Roman" w:eastAsia="仿宋_GB2312" w:cs="Times New Roman"/>
                <w:kern w:val="0"/>
                <w:sz w:val="22"/>
              </w:rPr>
              <w:t>编制部门：廊坊市</w:t>
            </w:r>
            <w:r>
              <w:rPr>
                <w:rFonts w:hint="eastAsia" w:ascii="Times New Roman" w:hAnsi="Times New Roman" w:eastAsia="仿宋_GB2312" w:cs="Times New Roman"/>
                <w:kern w:val="0"/>
                <w:sz w:val="22"/>
                <w:lang w:val="en-US" w:eastAsia="zh-CN"/>
              </w:rPr>
              <w:t>发展和改革委员会</w:t>
            </w:r>
          </w:p>
        </w:tc>
        <w:tc>
          <w:tcPr>
            <w:tcW w:w="5103" w:type="dxa"/>
            <w:tcBorders>
              <w:top w:val="nil"/>
              <w:left w:val="nil"/>
              <w:bottom w:val="nil"/>
              <w:right w:val="nil"/>
            </w:tcBorders>
            <w:shd w:val="clear" w:color="auto" w:fill="auto"/>
            <w:noWrap/>
            <w:vAlign w:val="center"/>
          </w:tcPr>
          <w:p>
            <w:pPr>
              <w:widowControl/>
              <w:spacing w:line="584" w:lineRule="exact"/>
              <w:ind w:firstLine="1760" w:firstLineChars="800"/>
              <w:jc w:val="left"/>
              <w:rPr>
                <w:rFonts w:ascii="Times New Roman" w:hAnsi="Times New Roman" w:eastAsia="仿宋_GB2312" w:cs="Times New Roman"/>
                <w:kern w:val="0"/>
                <w:sz w:val="22"/>
              </w:rPr>
            </w:pPr>
            <w:r>
              <w:rPr>
                <w:rFonts w:ascii="Times New Roman" w:hAnsi="Times New Roman" w:eastAsia="仿宋_GB2312" w:cs="Times New Roman"/>
                <w:kern w:val="0"/>
                <w:sz w:val="22"/>
              </w:rPr>
              <w:t>截止时间：20</w:t>
            </w:r>
            <w:r>
              <w:rPr>
                <w:rFonts w:hint="eastAsia" w:ascii="Times New Roman" w:hAnsi="Times New Roman" w:eastAsia="仿宋_GB2312" w:cs="Times New Roman"/>
                <w:kern w:val="0"/>
                <w:sz w:val="22"/>
              </w:rPr>
              <w:t>2</w:t>
            </w:r>
            <w:r>
              <w:rPr>
                <w:rFonts w:hint="eastAsia" w:eastAsia="仿宋_GB2312" w:cs="Times New Roman"/>
                <w:kern w:val="0"/>
                <w:sz w:val="22"/>
                <w:lang w:val="en-US" w:eastAsia="zh-CN"/>
              </w:rPr>
              <w:t>2</w:t>
            </w:r>
            <w:r>
              <w:rPr>
                <w:rFonts w:ascii="Times New Roman" w:hAnsi="Times New Roman" w:eastAsia="仿宋_GB2312" w:cs="Times New Roman"/>
                <w:kern w:val="0"/>
                <w:sz w:val="22"/>
              </w:rPr>
              <w:t xml:space="preserve">年12月31日  </w:t>
            </w:r>
          </w:p>
        </w:tc>
      </w:tr>
      <w:tr>
        <w:tblPrEx>
          <w:tblLayout w:type="fixed"/>
          <w:tblCellMar>
            <w:top w:w="0" w:type="dxa"/>
            <w:left w:w="108" w:type="dxa"/>
            <w:bottom w:w="0" w:type="dxa"/>
            <w:right w:w="108" w:type="dxa"/>
          </w:tblCellMar>
        </w:tblPrEx>
        <w:trPr>
          <w:trHeight w:val="567" w:hRule="exact"/>
        </w:trPr>
        <w:tc>
          <w:tcPr>
            <w:tcW w:w="522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b/>
                <w:bCs/>
                <w:kern w:val="0"/>
                <w:sz w:val="22"/>
              </w:rPr>
            </w:pPr>
            <w:r>
              <w:rPr>
                <w:rFonts w:ascii="Times New Roman" w:hAnsi="Times New Roman" w:eastAsia="仿宋_GB2312" w:cs="Times New Roman"/>
                <w:b/>
                <w:bCs/>
                <w:kern w:val="0"/>
                <w:sz w:val="22"/>
              </w:rPr>
              <w:t>项   目</w:t>
            </w:r>
          </w:p>
        </w:tc>
        <w:tc>
          <w:tcPr>
            <w:tcW w:w="3155" w:type="dxa"/>
            <w:tcBorders>
              <w:top w:val="single" w:color="auto" w:sz="4" w:space="0"/>
              <w:left w:val="nil"/>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b/>
                <w:bCs/>
                <w:kern w:val="0"/>
                <w:sz w:val="22"/>
              </w:rPr>
            </w:pPr>
            <w:r>
              <w:rPr>
                <w:rFonts w:ascii="Times New Roman" w:hAnsi="Times New Roman" w:eastAsia="仿宋_GB2312" w:cs="Times New Roman"/>
                <w:b/>
                <w:bCs/>
                <w:kern w:val="0"/>
                <w:sz w:val="22"/>
              </w:rPr>
              <w:t>数量</w:t>
            </w:r>
          </w:p>
        </w:tc>
        <w:tc>
          <w:tcPr>
            <w:tcW w:w="5103" w:type="dxa"/>
            <w:tcBorders>
              <w:top w:val="single" w:color="auto" w:sz="4" w:space="0"/>
              <w:left w:val="nil"/>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b/>
                <w:bCs/>
                <w:kern w:val="0"/>
                <w:sz w:val="22"/>
              </w:rPr>
            </w:pPr>
            <w:r>
              <w:rPr>
                <w:rFonts w:ascii="Times New Roman" w:hAnsi="Times New Roman" w:eastAsia="仿宋_GB2312" w:cs="Times New Roman"/>
                <w:b/>
                <w:bCs/>
                <w:kern w:val="0"/>
                <w:sz w:val="22"/>
              </w:rPr>
              <w:t>价值（金额单位：万元）</w:t>
            </w:r>
          </w:p>
        </w:tc>
      </w:tr>
      <w:tr>
        <w:tblPrEx>
          <w:tblLayout w:type="fixed"/>
          <w:tblCellMar>
            <w:top w:w="0" w:type="dxa"/>
            <w:left w:w="108" w:type="dxa"/>
            <w:bottom w:w="0" w:type="dxa"/>
            <w:right w:w="108" w:type="dxa"/>
          </w:tblCellMar>
        </w:tblPrEx>
        <w:trPr>
          <w:trHeight w:val="567" w:hRule="exact"/>
        </w:trPr>
        <w:tc>
          <w:tcPr>
            <w:tcW w:w="5224"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资产总额</w:t>
            </w:r>
          </w:p>
        </w:tc>
        <w:tc>
          <w:tcPr>
            <w:tcW w:w="3155"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ascii="Times New Roman" w:hAnsi="Times New Roman" w:eastAsia="仿宋_GB2312" w:cs="Times New Roman"/>
                <w:sz w:val="22"/>
              </w:rPr>
            </w:pPr>
            <w:r>
              <w:rPr>
                <w:rFonts w:ascii="Times New Roman" w:hAnsi="Times New Roman" w:eastAsia="仿宋_GB2312" w:cs="Times New Roman"/>
                <w:sz w:val="22"/>
              </w:rPr>
              <w:t>——</w:t>
            </w:r>
          </w:p>
        </w:tc>
        <w:tc>
          <w:tcPr>
            <w:tcW w:w="5103"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eastAsia="仿宋_GB2312" w:cs="Times New Roman"/>
                <w:sz w:val="22"/>
                <w:lang w:val="en-US" w:eastAsia="zh-CN"/>
              </w:rPr>
              <w:t>3951.88</w:t>
            </w:r>
          </w:p>
        </w:tc>
      </w:tr>
      <w:tr>
        <w:tblPrEx>
          <w:tblLayout w:type="fixed"/>
          <w:tblCellMar>
            <w:top w:w="0" w:type="dxa"/>
            <w:left w:w="108" w:type="dxa"/>
            <w:bottom w:w="0" w:type="dxa"/>
            <w:right w:w="108" w:type="dxa"/>
          </w:tblCellMar>
        </w:tblPrEx>
        <w:trPr>
          <w:trHeight w:val="567" w:hRule="exact"/>
        </w:trPr>
        <w:tc>
          <w:tcPr>
            <w:tcW w:w="5224"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1、房屋（平方米）</w:t>
            </w:r>
          </w:p>
        </w:tc>
        <w:tc>
          <w:tcPr>
            <w:tcW w:w="3155"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eastAsia="仿宋_GB2312" w:cs="Times New Roman"/>
                <w:sz w:val="22"/>
                <w:lang w:val="en-US" w:eastAsia="zh-CN"/>
              </w:rPr>
              <w:t>18424.83</w:t>
            </w:r>
          </w:p>
        </w:tc>
        <w:tc>
          <w:tcPr>
            <w:tcW w:w="5103"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eastAsia="仿宋_GB2312" w:cs="Times New Roman"/>
                <w:sz w:val="22"/>
                <w:lang w:val="en-US" w:eastAsia="zh-CN"/>
              </w:rPr>
              <w:t>1072.43</w:t>
            </w:r>
          </w:p>
        </w:tc>
      </w:tr>
      <w:tr>
        <w:tblPrEx>
          <w:tblLayout w:type="fixed"/>
          <w:tblCellMar>
            <w:top w:w="0" w:type="dxa"/>
            <w:left w:w="108" w:type="dxa"/>
            <w:bottom w:w="0" w:type="dxa"/>
            <w:right w:w="108" w:type="dxa"/>
          </w:tblCellMar>
        </w:tblPrEx>
        <w:trPr>
          <w:trHeight w:val="567" w:hRule="exact"/>
        </w:trPr>
        <w:tc>
          <w:tcPr>
            <w:tcW w:w="5224"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其中：</w:t>
            </w:r>
            <w:r>
              <w:rPr>
                <w:rFonts w:hint="eastAsia" w:ascii="Times New Roman" w:hAnsi="Times New Roman" w:eastAsia="仿宋_GB2312" w:cs="Times New Roman"/>
                <w:kern w:val="0"/>
                <w:sz w:val="22"/>
                <w:lang w:val="en-US" w:eastAsia="zh-CN"/>
              </w:rPr>
              <w:fldChar w:fldCharType="begin"/>
            </w:r>
            <w:r>
              <w:rPr>
                <w:rFonts w:hint="eastAsia" w:ascii="Times New Roman" w:hAnsi="Times New Roman" w:eastAsia="仿宋_GB2312" w:cs="Times New Roman"/>
                <w:kern w:val="0"/>
                <w:sz w:val="22"/>
                <w:lang w:val="en-US" w:eastAsia="zh-CN"/>
              </w:rPr>
              <w:instrText xml:space="preserve"> = 1 \* GB3 \* MERGEFORMAT </w:instrText>
            </w:r>
            <w:r>
              <w:rPr>
                <w:rFonts w:hint="eastAsia" w:ascii="Times New Roman" w:hAnsi="Times New Roman" w:eastAsia="仿宋_GB2312" w:cs="Times New Roman"/>
                <w:kern w:val="0"/>
                <w:sz w:val="22"/>
                <w:lang w:val="en-US" w:eastAsia="zh-CN"/>
              </w:rPr>
              <w:fldChar w:fldCharType="separate"/>
            </w:r>
            <w:r>
              <w:t>①</w:t>
            </w:r>
            <w:r>
              <w:rPr>
                <w:rFonts w:hint="eastAsia" w:ascii="Times New Roman" w:hAnsi="Times New Roman" w:eastAsia="仿宋_GB2312" w:cs="Times New Roman"/>
                <w:kern w:val="0"/>
                <w:sz w:val="22"/>
                <w:lang w:val="en-US" w:eastAsia="zh-CN"/>
              </w:rPr>
              <w:fldChar w:fldCharType="end"/>
            </w:r>
            <w:r>
              <w:rPr>
                <w:rFonts w:ascii="Times New Roman" w:hAnsi="Times New Roman" w:eastAsia="仿宋_GB2312" w:cs="Times New Roman"/>
                <w:kern w:val="0"/>
                <w:sz w:val="22"/>
              </w:rPr>
              <w:t>办公用房（平方米）</w:t>
            </w:r>
          </w:p>
        </w:tc>
        <w:tc>
          <w:tcPr>
            <w:tcW w:w="3155"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ascii="Times New Roman" w:hAnsi="Times New Roman" w:eastAsia="仿宋_GB2312" w:cs="Times New Roman"/>
                <w:sz w:val="22"/>
              </w:rPr>
            </w:pPr>
            <w:r>
              <w:rPr>
                <w:rFonts w:hint="eastAsia" w:ascii="Times New Roman" w:hAnsi="Times New Roman" w:eastAsia="仿宋_GB2312" w:cs="Times New Roman"/>
                <w:sz w:val="22"/>
                <w:lang w:val="en-US" w:eastAsia="zh-CN"/>
              </w:rPr>
              <w:t>18334.83</w:t>
            </w:r>
          </w:p>
        </w:tc>
        <w:tc>
          <w:tcPr>
            <w:tcW w:w="5103"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ascii="Times New Roman" w:hAnsi="Times New Roman" w:eastAsia="仿宋_GB2312" w:cs="Times New Roman"/>
                <w:sz w:val="22"/>
              </w:rPr>
            </w:pPr>
            <w:r>
              <w:rPr>
                <w:rFonts w:hint="eastAsia" w:ascii="Times New Roman" w:hAnsi="Times New Roman" w:eastAsia="仿宋_GB2312" w:cs="Times New Roman"/>
                <w:sz w:val="22"/>
                <w:lang w:val="en-US" w:eastAsia="zh-CN"/>
              </w:rPr>
              <w:t>1057.88</w:t>
            </w:r>
          </w:p>
        </w:tc>
      </w:tr>
      <w:tr>
        <w:tblPrEx>
          <w:tblLayout w:type="fixed"/>
          <w:tblCellMar>
            <w:top w:w="0" w:type="dxa"/>
            <w:left w:w="108" w:type="dxa"/>
            <w:bottom w:w="0" w:type="dxa"/>
            <w:right w:w="108" w:type="dxa"/>
          </w:tblCellMar>
        </w:tblPrEx>
        <w:trPr>
          <w:trHeight w:val="567" w:hRule="exact"/>
        </w:trPr>
        <w:tc>
          <w:tcPr>
            <w:tcW w:w="5224"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both"/>
              <w:rPr>
                <w:rFonts w:ascii="Times New Roman" w:hAnsi="Times New Roman" w:eastAsia="仿宋_GB2312" w:cs="Times New Roman"/>
                <w:kern w:val="0"/>
                <w:sz w:val="22"/>
              </w:rPr>
            </w:pPr>
            <w:r>
              <w:rPr>
                <w:rFonts w:hint="eastAsia" w:ascii="Times New Roman" w:hAnsi="Times New Roman" w:eastAsia="仿宋_GB2312" w:cs="Times New Roman"/>
                <w:kern w:val="0"/>
                <w:sz w:val="22"/>
                <w:lang w:val="en-US" w:eastAsia="zh-CN"/>
              </w:rPr>
              <w:t xml:space="preserve">                               </w:t>
            </w:r>
            <w:r>
              <w:rPr>
                <w:rFonts w:hint="eastAsia" w:ascii="Times New Roman" w:hAnsi="Times New Roman" w:eastAsia="仿宋_GB2312" w:cs="Times New Roman"/>
                <w:kern w:val="0"/>
                <w:sz w:val="22"/>
                <w:lang w:val="en-US" w:eastAsia="zh-CN"/>
              </w:rPr>
              <w:fldChar w:fldCharType="begin"/>
            </w:r>
            <w:r>
              <w:rPr>
                <w:rFonts w:hint="eastAsia" w:ascii="Times New Roman" w:hAnsi="Times New Roman" w:eastAsia="仿宋_GB2312" w:cs="Times New Roman"/>
                <w:kern w:val="0"/>
                <w:sz w:val="22"/>
                <w:lang w:val="en-US" w:eastAsia="zh-CN"/>
              </w:rPr>
              <w:instrText xml:space="preserve"> = 2 \* GB3 \* MERGEFORMAT </w:instrText>
            </w:r>
            <w:r>
              <w:rPr>
                <w:rFonts w:hint="eastAsia" w:ascii="Times New Roman" w:hAnsi="Times New Roman" w:eastAsia="仿宋_GB2312" w:cs="Times New Roman"/>
                <w:kern w:val="0"/>
                <w:sz w:val="22"/>
                <w:lang w:val="en-US" w:eastAsia="zh-CN"/>
              </w:rPr>
              <w:fldChar w:fldCharType="separate"/>
            </w:r>
            <w:r>
              <w:t>②</w:t>
            </w:r>
            <w:r>
              <w:rPr>
                <w:rFonts w:hint="eastAsia" w:ascii="Times New Roman" w:hAnsi="Times New Roman" w:eastAsia="仿宋_GB2312" w:cs="Times New Roman"/>
                <w:kern w:val="0"/>
                <w:sz w:val="22"/>
                <w:lang w:val="en-US" w:eastAsia="zh-CN"/>
              </w:rPr>
              <w:fldChar w:fldCharType="end"/>
            </w:r>
            <w:r>
              <w:rPr>
                <w:rFonts w:hint="eastAsia" w:ascii="Times New Roman" w:hAnsi="Times New Roman" w:eastAsia="仿宋_GB2312" w:cs="Times New Roman"/>
                <w:kern w:val="0"/>
                <w:sz w:val="22"/>
                <w:lang w:val="en-US" w:eastAsia="zh-CN"/>
              </w:rPr>
              <w:t>其他（不含构筑物）</w:t>
            </w:r>
          </w:p>
        </w:tc>
        <w:tc>
          <w:tcPr>
            <w:tcW w:w="3155"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eastAsia"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90</w:t>
            </w:r>
          </w:p>
        </w:tc>
        <w:tc>
          <w:tcPr>
            <w:tcW w:w="5103"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eastAsia"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14.55</w:t>
            </w:r>
          </w:p>
        </w:tc>
      </w:tr>
      <w:tr>
        <w:tblPrEx>
          <w:tblLayout w:type="fixed"/>
          <w:tblCellMar>
            <w:top w:w="0" w:type="dxa"/>
            <w:left w:w="108" w:type="dxa"/>
            <w:bottom w:w="0" w:type="dxa"/>
            <w:right w:w="108" w:type="dxa"/>
          </w:tblCellMar>
        </w:tblPrEx>
        <w:trPr>
          <w:trHeight w:val="567" w:hRule="exact"/>
        </w:trPr>
        <w:tc>
          <w:tcPr>
            <w:tcW w:w="5224"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2、车辆（台、辆）</w:t>
            </w:r>
          </w:p>
        </w:tc>
        <w:tc>
          <w:tcPr>
            <w:tcW w:w="3155"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16</w:t>
            </w:r>
          </w:p>
        </w:tc>
        <w:tc>
          <w:tcPr>
            <w:tcW w:w="5103"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ascii="Times New Roman" w:hAnsi="Times New Roman" w:eastAsia="仿宋_GB2312" w:cs="Times New Roman"/>
                <w:sz w:val="22"/>
                <w:lang w:val="en-US" w:eastAsia="zh-CN"/>
              </w:rPr>
              <w:t>333.51</w:t>
            </w:r>
          </w:p>
        </w:tc>
      </w:tr>
      <w:tr>
        <w:tblPrEx>
          <w:tblLayout w:type="fixed"/>
          <w:tblCellMar>
            <w:top w:w="0" w:type="dxa"/>
            <w:left w:w="108" w:type="dxa"/>
            <w:bottom w:w="0" w:type="dxa"/>
            <w:right w:w="108" w:type="dxa"/>
          </w:tblCellMar>
        </w:tblPrEx>
        <w:trPr>
          <w:trHeight w:val="567" w:hRule="exact"/>
        </w:trPr>
        <w:tc>
          <w:tcPr>
            <w:tcW w:w="5224" w:type="dxa"/>
            <w:tcBorders>
              <w:top w:val="nil"/>
              <w:left w:val="single" w:color="auto" w:sz="4" w:space="0"/>
              <w:bottom w:val="single" w:color="auto" w:sz="4" w:space="0"/>
              <w:right w:val="single" w:color="auto" w:sz="4" w:space="0"/>
            </w:tcBorders>
            <w:shd w:val="clear" w:color="auto" w:fill="auto"/>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3、单价在20万元以上的设备</w:t>
            </w:r>
          </w:p>
        </w:tc>
        <w:tc>
          <w:tcPr>
            <w:tcW w:w="3155"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eastAsia" w:ascii="Times New Roman" w:hAnsi="Times New Roman" w:eastAsia="仿宋_GB2312" w:cs="Times New Roman"/>
                <w:sz w:val="22"/>
                <w:lang w:val="en-US" w:eastAsia="zh-CN"/>
              </w:rPr>
            </w:pPr>
          </w:p>
        </w:tc>
        <w:tc>
          <w:tcPr>
            <w:tcW w:w="5103"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p>
        </w:tc>
      </w:tr>
      <w:tr>
        <w:tblPrEx>
          <w:tblLayout w:type="fixed"/>
          <w:tblCellMar>
            <w:top w:w="0" w:type="dxa"/>
            <w:left w:w="108" w:type="dxa"/>
            <w:bottom w:w="0" w:type="dxa"/>
            <w:right w:w="108" w:type="dxa"/>
          </w:tblCellMar>
        </w:tblPrEx>
        <w:trPr>
          <w:trHeight w:val="567" w:hRule="exact"/>
        </w:trPr>
        <w:tc>
          <w:tcPr>
            <w:tcW w:w="5224" w:type="dxa"/>
            <w:tcBorders>
              <w:top w:val="nil"/>
              <w:left w:val="single" w:color="auto" w:sz="4" w:space="0"/>
              <w:bottom w:val="single" w:color="auto" w:sz="4" w:space="0"/>
              <w:right w:val="single" w:color="auto" w:sz="4" w:space="0"/>
            </w:tcBorders>
            <w:shd w:val="clear" w:color="auto" w:fill="auto"/>
            <w:noWrap/>
            <w:vAlign w:val="center"/>
          </w:tcPr>
          <w:p>
            <w:pPr>
              <w:widowControl/>
              <w:spacing w:line="584"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4、其他固定资产</w:t>
            </w:r>
          </w:p>
        </w:tc>
        <w:tc>
          <w:tcPr>
            <w:tcW w:w="3155"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eastAsia="仿宋_GB2312" w:cs="Times New Roman"/>
                <w:sz w:val="22"/>
                <w:lang w:val="en-US" w:eastAsia="zh-CN"/>
              </w:rPr>
              <w:t>2665</w:t>
            </w:r>
          </w:p>
        </w:tc>
        <w:tc>
          <w:tcPr>
            <w:tcW w:w="5103" w:type="dxa"/>
            <w:tcBorders>
              <w:top w:val="nil"/>
              <w:left w:val="nil"/>
              <w:bottom w:val="single" w:color="auto" w:sz="4" w:space="0"/>
              <w:right w:val="single" w:color="auto" w:sz="4" w:space="0"/>
            </w:tcBorders>
            <w:shd w:val="clear" w:color="auto" w:fill="auto"/>
            <w:noWrap/>
            <w:vAlign w:val="center"/>
          </w:tcPr>
          <w:p>
            <w:pPr>
              <w:spacing w:line="584" w:lineRule="exact"/>
              <w:jc w:val="center"/>
              <w:rPr>
                <w:rFonts w:hint="default" w:ascii="Times New Roman" w:hAnsi="Times New Roman" w:eastAsia="仿宋_GB2312" w:cs="Times New Roman"/>
                <w:sz w:val="22"/>
                <w:lang w:val="en-US" w:eastAsia="zh-CN"/>
              </w:rPr>
            </w:pPr>
            <w:r>
              <w:rPr>
                <w:rFonts w:hint="eastAsia" w:eastAsia="仿宋_GB2312" w:cs="Times New Roman"/>
                <w:sz w:val="22"/>
                <w:lang w:val="en-US" w:eastAsia="zh-CN"/>
              </w:rPr>
              <w:t>2545.94</w:t>
            </w:r>
          </w:p>
        </w:tc>
      </w:tr>
    </w:tbl>
    <w:p>
      <w:pPr>
        <w:ind w:firstLine="640"/>
      </w:pPr>
    </w:p>
    <w:p>
      <w:pPr>
        <w:spacing w:before="10" w:after="10"/>
        <w:ind w:firstLine="640"/>
        <w:outlineLvl w:val="2"/>
      </w:pPr>
      <w:bookmarkStart w:id="7" w:name="_Toc_3_3_0000000017"/>
      <w:r>
        <w:rPr>
          <w:rFonts w:ascii="黑体" w:hAnsi="黑体" w:eastAsia="黑体" w:cs="黑体"/>
          <w:color w:val="000000"/>
          <w:sz w:val="32"/>
        </w:rPr>
        <w:t>八、名词解释</w:t>
      </w:r>
      <w:bookmarkEnd w:id="7"/>
    </w:p>
    <w:p>
      <w:pPr>
        <w:spacing w:line="500" w:lineRule="exact"/>
        <w:ind w:firstLine="560"/>
      </w:pPr>
      <w:r>
        <w:rPr>
          <w:rFonts w:eastAsia="方正仿宋_GBK"/>
          <w:color w:val="000000"/>
          <w:sz w:val="28"/>
        </w:rPr>
        <w:t>1、</w:t>
      </w:r>
      <w:r>
        <w:rPr>
          <w:rFonts w:eastAsia="方正仿宋_GBK"/>
          <w:b/>
          <w:color w:val="000000"/>
          <w:sz w:val="28"/>
        </w:rPr>
        <w:t>一般公共预算拨款收入：</w:t>
      </w:r>
      <w:r>
        <w:rPr>
          <w:rFonts w:eastAsia="方正仿宋_GBK"/>
          <w:color w:val="000000"/>
          <w:sz w:val="28"/>
        </w:rPr>
        <w:t>指省级财政当年拨付的资金。</w:t>
      </w:r>
    </w:p>
    <w:p>
      <w:pPr>
        <w:spacing w:line="500" w:lineRule="exact"/>
        <w:ind w:firstLine="560"/>
      </w:pPr>
      <w:r>
        <w:rPr>
          <w:rFonts w:eastAsia="方正仿宋_GBK"/>
          <w:color w:val="000000"/>
          <w:sz w:val="28"/>
        </w:rPr>
        <w:t>2、</w:t>
      </w:r>
      <w:r>
        <w:rPr>
          <w:rFonts w:eastAsia="方正仿宋_GBK"/>
          <w:b/>
          <w:color w:val="000000"/>
          <w:sz w:val="28"/>
        </w:rPr>
        <w:t>事业收入：</w:t>
      </w:r>
      <w:r>
        <w:rPr>
          <w:rFonts w:eastAsia="方正仿宋_GBK"/>
          <w:color w:val="000000"/>
          <w:sz w:val="28"/>
        </w:rPr>
        <w:t>指事业单位开展专业业务活动及辅助活动所取得的收入。</w:t>
      </w:r>
    </w:p>
    <w:p>
      <w:pPr>
        <w:spacing w:line="500" w:lineRule="exact"/>
        <w:ind w:firstLine="560"/>
      </w:pPr>
      <w:r>
        <w:rPr>
          <w:rFonts w:eastAsia="方正仿宋_GBK"/>
          <w:color w:val="000000"/>
          <w:sz w:val="28"/>
        </w:rPr>
        <w:t>3、</w:t>
      </w:r>
      <w:r>
        <w:rPr>
          <w:rFonts w:eastAsia="方正仿宋_GBK"/>
          <w:b/>
          <w:color w:val="000000"/>
          <w:sz w:val="28"/>
        </w:rPr>
        <w:t>其他收入：</w:t>
      </w:r>
      <w:r>
        <w:rPr>
          <w:rFonts w:eastAsia="方正仿宋_GBK"/>
          <w:color w:val="000000"/>
          <w:sz w:val="28"/>
        </w:rPr>
        <w:t>指除“一般公共预算拨款收入”、“事业收入”等以外的收入。主要是按规定动用的租房收入、存款利息收入等。</w:t>
      </w:r>
    </w:p>
    <w:p>
      <w:pPr>
        <w:spacing w:line="500" w:lineRule="exact"/>
        <w:ind w:firstLine="560"/>
      </w:pPr>
      <w:r>
        <w:rPr>
          <w:rFonts w:eastAsia="方正仿宋_GBK"/>
          <w:color w:val="000000"/>
          <w:sz w:val="28"/>
        </w:rPr>
        <w:t>4、</w:t>
      </w:r>
      <w:r>
        <w:rPr>
          <w:rFonts w:eastAsia="方正仿宋_GBK"/>
          <w:b/>
          <w:color w:val="000000"/>
          <w:sz w:val="28"/>
        </w:rPr>
        <w:t>基本支出：</w:t>
      </w:r>
      <w:r>
        <w:rPr>
          <w:rFonts w:eastAsia="方正仿宋_GBK"/>
          <w:color w:val="000000"/>
          <w:sz w:val="28"/>
        </w:rPr>
        <w:t>指为保障机构正常运转、完成日常工作任务而发生的人员支出和公用支出。</w:t>
      </w:r>
    </w:p>
    <w:p>
      <w:pPr>
        <w:spacing w:line="500" w:lineRule="exact"/>
        <w:ind w:firstLine="560"/>
      </w:pPr>
      <w:r>
        <w:rPr>
          <w:rFonts w:eastAsia="方正仿宋_GBK"/>
          <w:color w:val="000000"/>
          <w:sz w:val="28"/>
        </w:rPr>
        <w:t>5、</w:t>
      </w:r>
      <w:r>
        <w:rPr>
          <w:rFonts w:eastAsia="方正仿宋_GBK"/>
          <w:b/>
          <w:color w:val="000000"/>
          <w:sz w:val="28"/>
        </w:rPr>
        <w:t>项目支出：</w:t>
      </w:r>
      <w:r>
        <w:rPr>
          <w:rFonts w:eastAsia="方正仿宋_GBK"/>
          <w:color w:val="000000"/>
          <w:sz w:val="28"/>
        </w:rPr>
        <w:t>指在基本支出之外为完成特定行政任务和事业发展目标所发生的支出。</w:t>
      </w:r>
    </w:p>
    <w:p>
      <w:pPr>
        <w:spacing w:line="500" w:lineRule="exact"/>
        <w:ind w:firstLine="560"/>
      </w:pPr>
      <w:r>
        <w:rPr>
          <w:rFonts w:eastAsia="方正仿宋_GBK"/>
          <w:color w:val="000000"/>
          <w:sz w:val="28"/>
        </w:rPr>
        <w:t>6、</w:t>
      </w:r>
      <w:r>
        <w:rPr>
          <w:rFonts w:eastAsia="方正仿宋_GBK"/>
          <w:b/>
          <w:color w:val="000000"/>
          <w:sz w:val="28"/>
        </w:rPr>
        <w:t>上缴上级支出：</w:t>
      </w:r>
      <w:r>
        <w:rPr>
          <w:rFonts w:eastAsia="方正仿宋_GBK"/>
          <w:color w:val="000000"/>
          <w:sz w:val="28"/>
        </w:rPr>
        <w:t>指下级单位上缴上级的支出。</w:t>
      </w:r>
    </w:p>
    <w:p>
      <w:pPr>
        <w:spacing w:line="500" w:lineRule="exact"/>
        <w:ind w:firstLine="560"/>
      </w:pPr>
      <w:r>
        <w:rPr>
          <w:rFonts w:eastAsia="方正仿宋_GBK"/>
          <w:color w:val="000000"/>
          <w:sz w:val="28"/>
        </w:rPr>
        <w:t>7、</w:t>
      </w:r>
      <w:r>
        <w:rPr>
          <w:rFonts w:eastAsia="方正仿宋_GBK"/>
          <w:b/>
          <w:color w:val="000000"/>
          <w:sz w:val="28"/>
        </w:rPr>
        <w:t>“三公”经费：</w:t>
      </w:r>
      <w:r>
        <w:rPr>
          <w:rFonts w:eastAsia="方正仿宋_GBK"/>
          <w:color w:val="000000"/>
          <w:sz w:val="28"/>
        </w:rPr>
        <w:t>纳入省级财政预算管理的“三公”经费，是指省级部门用财政拨款安排的因公出国（境）费、公务用车购置及运维费和公务接待费。其中，因公出国（境）费反映单位公务出国（境）的住宿费、旅费、伙食补助费、杂费、培训费等支出；公务用车购置及运维费反映单位公务用车购置费及租用费、燃料费、维修费、过路过桥费、保险费、安全奖励费用等支出；公务接待费反映单位按规定开支的各类公务接待（含外宾接待）支出。</w:t>
      </w:r>
    </w:p>
    <w:p>
      <w:pPr>
        <w:spacing w:line="500" w:lineRule="exact"/>
        <w:ind w:firstLine="560"/>
      </w:pPr>
      <w:r>
        <w:rPr>
          <w:rFonts w:eastAsia="方正仿宋_GBK"/>
          <w:color w:val="000000"/>
          <w:sz w:val="28"/>
        </w:rPr>
        <w:t>8、</w:t>
      </w:r>
      <w:r>
        <w:rPr>
          <w:rFonts w:eastAsia="方正仿宋_GBK"/>
          <w:b/>
          <w:color w:val="000000"/>
          <w:sz w:val="28"/>
        </w:rPr>
        <w:t>机关运行费：</w:t>
      </w:r>
      <w:r>
        <w:rPr>
          <w:rFonts w:eastAsia="方正仿宋_GBK"/>
          <w:color w:val="000000"/>
          <w:sz w:val="28"/>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spacing w:line="500" w:lineRule="exact"/>
        <w:ind w:firstLine="560"/>
      </w:pPr>
      <w:r>
        <w:rPr>
          <w:rFonts w:eastAsia="方正仿宋_GBK"/>
          <w:color w:val="000000"/>
          <w:sz w:val="28"/>
        </w:rPr>
        <w:t>9、</w:t>
      </w:r>
      <w:r>
        <w:rPr>
          <w:rFonts w:eastAsia="方正仿宋_GBK"/>
          <w:b/>
          <w:color w:val="000000"/>
          <w:sz w:val="28"/>
        </w:rPr>
        <w:t>上年结转：</w:t>
      </w:r>
      <w:r>
        <w:rPr>
          <w:rFonts w:eastAsia="方正仿宋_GBK"/>
          <w:color w:val="000000"/>
          <w:sz w:val="28"/>
        </w:rPr>
        <w:t>指以前年度尚未完成、结转到本年仍按原规定用途继续使用的资金。</w:t>
      </w:r>
    </w:p>
    <w:p>
      <w:pPr>
        <w:spacing w:line="500" w:lineRule="exact"/>
        <w:ind w:firstLine="560"/>
      </w:pPr>
      <w:r>
        <w:rPr>
          <w:rFonts w:eastAsia="方正仿宋_GBK"/>
          <w:color w:val="000000"/>
          <w:sz w:val="28"/>
        </w:rPr>
        <w:t>10、</w:t>
      </w:r>
      <w:r>
        <w:rPr>
          <w:rFonts w:eastAsia="方正仿宋_GBK"/>
          <w:b/>
          <w:color w:val="000000"/>
          <w:sz w:val="28"/>
        </w:rPr>
        <w:t>事业单位经营支出：</w:t>
      </w:r>
      <w:r>
        <w:rPr>
          <w:rFonts w:eastAsia="方正仿宋_GBK"/>
          <w:color w:val="000000"/>
          <w:sz w:val="28"/>
        </w:rPr>
        <w:t>指事业单位在专业业务活动及其辅助活动之外开展非独立核算经营活动发生的支出。</w:t>
      </w:r>
    </w:p>
    <w:p>
      <w:pPr>
        <w:spacing w:before="10" w:after="10"/>
        <w:ind w:firstLine="640"/>
        <w:outlineLvl w:val="2"/>
      </w:pPr>
      <w:bookmarkStart w:id="8" w:name="_Toc_3_3_0000000018"/>
      <w:r>
        <w:rPr>
          <w:rFonts w:ascii="黑体" w:hAnsi="黑体" w:eastAsia="黑体" w:cs="黑体"/>
          <w:color w:val="000000"/>
          <w:sz w:val="32"/>
        </w:rPr>
        <w:t>九、其他需要说明的事项</w:t>
      </w:r>
      <w:bookmarkEnd w:id="8"/>
    </w:p>
    <w:p>
      <w:pPr>
        <w:spacing w:line="500" w:lineRule="exact"/>
        <w:ind w:firstLine="560"/>
        <w:rPr>
          <w:rFonts w:hint="eastAsia" w:eastAsia="方正仿宋_GBK"/>
          <w:lang w:eastAsia="zh-CN"/>
        </w:rPr>
      </w:pPr>
      <w:r>
        <w:rPr>
          <w:rFonts w:eastAsia="方正仿宋_GBK"/>
          <w:color w:val="000000"/>
          <w:sz w:val="28"/>
        </w:rPr>
        <w:t>我部门无其他需要说明的事项</w:t>
      </w:r>
      <w:r>
        <w:rPr>
          <w:rFonts w:hint="eastAsia" w:eastAsia="方正仿宋_GBK"/>
          <w:color w:val="000000"/>
          <w:sz w:val="28"/>
          <w:lang w:eastAsia="zh-CN"/>
        </w:rPr>
        <w:t>。</w:t>
      </w:r>
    </w:p>
    <w:p>
      <w:pPr>
        <w:jc w:val="center"/>
      </w:pPr>
    </w:p>
    <w:p>
      <w:pPr>
        <w:jc w:val="center"/>
      </w:pPr>
    </w:p>
    <w:p>
      <w:pPr>
        <w:jc w:val="center"/>
      </w:pPr>
    </w:p>
    <w:p>
      <w:pPr>
        <w:jc w:val="center"/>
      </w:pPr>
    </w:p>
    <w:p>
      <w:pPr>
        <w:spacing w:line="500" w:lineRule="exact"/>
        <w:ind w:firstLine="560"/>
      </w:pPr>
    </w:p>
    <w:sectPr>
      <w:pgSz w:w="16840" w:h="11900" w:orient="landscape"/>
      <w:pgMar w:top="1361" w:right="1020" w:bottom="1134" w:left="102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 w:name="方正仿宋_GBK">
    <w:altName w:val="宋体"/>
    <w:panose1 w:val="00000000000000000000"/>
    <w:charset w:val="86"/>
    <w:family w:val="roman"/>
    <w:pitch w:val="default"/>
    <w:sig w:usb0="00000000" w:usb1="00000000" w:usb2="00000000" w:usb3="00000000" w:csb0="00000000" w:csb1="00000000"/>
  </w:font>
  <w:font w:name="方正楷体_GBK">
    <w:altName w:val="宋体"/>
    <w:panose1 w:val="00000000000000000000"/>
    <w:charset w:val="86"/>
    <w:family w:val="roman"/>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altName w:val="Arial Unicode MS"/>
    <w:panose1 w:val="02010601030101010101"/>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5" o:spid="_x0000_s3075"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6" w:lineRule="exact"/>
      <w:ind w:firstLine="4495"/>
      <w:jc w:val="left"/>
      <w:rPr>
        <w:rFonts w:ascii="宋体" w:hAnsi="宋体" w:cs="宋体"/>
        <w:szCs w:val="21"/>
      </w:rPr>
    </w:pPr>
    <w:r>
      <w:pict>
        <v:shape id="_x0000_s3076" o:spid="_x0000_s307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hzD29rgEAAEsD&#10;AAAOAAAAAAAAAAEAIAAAAB4BAABkcnMvZTJvRG9jLnhtbFBLBQYAAAAABgAGAFkBAAA+BQAAAAA=&#1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v:textbox>
        </v:shape>
      </w:pict>
    </w:r>
  </w:p>
  <w:p>
    <w:pPr>
      <w:spacing w:line="146" w:lineRule="exact"/>
      <w:ind w:firstLine="4495"/>
      <w:jc w:val="left"/>
      <w:rPr>
        <w:rFonts w:ascii="宋体" w:hAnsi="宋体" w:cs="宋体"/>
        <w:szCs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r>
      <w:fldChar w:fldCharType="begin"/>
    </w:r>
    <w:r>
      <w:instrText xml:space="preserve">PAGE "page number"</w:instrText>
    </w:r>
    <w:r>
      <w:fldChar w:fldCharType="separate"/>
    </w:r>
    <w:r>
      <w:t>17</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fldChar w:fldCharType="begin"/>
    </w:r>
    <w:r>
      <w:instrText xml:space="preserve">PAGE "page number"</w:instrText>
    </w:r>
    <w:r>
      <w:fldChar w:fldCharType="separate"/>
    </w:r>
    <w:r>
      <w:t>18</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3EB42C"/>
    <w:multiLevelType w:val="singleLevel"/>
    <w:tmpl w:val="863EB42C"/>
    <w:lvl w:ilvl="0" w:tentative="0">
      <w:start w:val="3"/>
      <w:numFmt w:val="chineseCounting"/>
      <w:suff w:val="nothing"/>
      <w:lvlText w:val="%1、"/>
      <w:lvlJc w:val="left"/>
      <w:rPr>
        <w:rFonts w:hint="eastAsia"/>
      </w:rPr>
    </w:lvl>
  </w:abstractNum>
  <w:abstractNum w:abstractNumId="1">
    <w:nsid w:val="9AE50F8D"/>
    <w:multiLevelType w:val="singleLevel"/>
    <w:tmpl w:val="9AE50F8D"/>
    <w:lvl w:ilvl="0" w:tentative="0">
      <w:start w:val="4"/>
      <w:numFmt w:val="chineseCounting"/>
      <w:suff w:val="space"/>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ocumentProtection w:enforcement="0"/>
  <w:defaultTabStop w:val="720"/>
  <w:characterSpacingControl w:val="doNotCompress"/>
  <w:hdrShapeDefaults>
    <o:shapelayout v:ext="edit">
      <o:idmap v:ext="edit" data="3"/>
    </o:shapelayout>
  </w:hdrShapeDefaults>
  <w:compat>
    <w:doNotLeaveBackslashAlone/>
    <w:doNotExpandShiftReturn/>
    <w:adjustLineHeightInTable/>
    <w:useFELayout/>
    <w:compatSetting w:name="compatibilityMode" w:uri="http://schemas.microsoft.com/office/word" w:val="12"/>
  </w:compat>
  <w:rsids>
    <w:rsidRoot w:val="003143AD"/>
    <w:rsid w:val="003143AD"/>
    <w:rsid w:val="006E1226"/>
    <w:rsid w:val="00BF0C39"/>
    <w:rsid w:val="08352EC2"/>
    <w:rsid w:val="08EC2B78"/>
    <w:rsid w:val="093529AE"/>
    <w:rsid w:val="16E8775F"/>
    <w:rsid w:val="1ACE38AB"/>
    <w:rsid w:val="1E5665B0"/>
    <w:rsid w:val="31DC09E8"/>
    <w:rsid w:val="32707297"/>
    <w:rsid w:val="32E42EF7"/>
    <w:rsid w:val="34214E06"/>
    <w:rsid w:val="34D7245C"/>
    <w:rsid w:val="35983632"/>
    <w:rsid w:val="3E44668C"/>
    <w:rsid w:val="40A42CB3"/>
    <w:rsid w:val="411D152B"/>
    <w:rsid w:val="46044F57"/>
    <w:rsid w:val="463579CB"/>
    <w:rsid w:val="49D46313"/>
    <w:rsid w:val="50603F8B"/>
    <w:rsid w:val="54715066"/>
    <w:rsid w:val="5C1833AD"/>
    <w:rsid w:val="5D006BCB"/>
    <w:rsid w:val="65000F03"/>
    <w:rsid w:val="6B135277"/>
    <w:rsid w:val="73E42161"/>
    <w:rsid w:val="75F73503"/>
    <w:rsid w:val="764B2258"/>
    <w:rsid w:val="7DDE5776"/>
    <w:rsid w:val="7E461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Times New Roman" w:cs="Times New Roman"/>
      <w:sz w:val="24"/>
      <w:szCs w:val="24"/>
      <w:lang w:val="en-US" w:eastAsia="uk-UA" w:bidi="ar-SA"/>
    </w:rPr>
  </w:style>
  <w:style w:type="character" w:default="1" w:styleId="8">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note text"/>
    <w:basedOn w:val="1"/>
    <w:next w:val="3"/>
    <w:semiHidden/>
    <w:unhideWhenUsed/>
    <w:qFormat/>
    <w:uiPriority w:val="99"/>
    <w:pPr>
      <w:snapToGrid w:val="0"/>
      <w:jc w:val="left"/>
    </w:pPr>
    <w:rPr>
      <w:rFonts w:ascii="Calibri" w:hAnsi="Calibri" w:eastAsia="宋体" w:cs="Times New Roman"/>
      <w:sz w:val="18"/>
      <w:szCs w:val="18"/>
    </w:rPr>
  </w:style>
  <w:style w:type="paragraph" w:styleId="3">
    <w:name w:val="Body Text"/>
    <w:basedOn w:val="1"/>
    <w:qFormat/>
    <w:uiPriority w:val="0"/>
    <w:pPr>
      <w:spacing w:after="120" w:afterLines="0"/>
    </w:pPr>
  </w:style>
  <w:style w:type="paragraph" w:styleId="4">
    <w:name w:val="footer"/>
    <w:basedOn w:val="1"/>
    <w:link w:val="36"/>
    <w:semiHidden/>
    <w:unhideWhenUsed/>
    <w:qFormat/>
    <w:uiPriority w:val="99"/>
    <w:pPr>
      <w:tabs>
        <w:tab w:val="center" w:pos="4153"/>
        <w:tab w:val="right" w:pos="8306"/>
      </w:tabs>
      <w:snapToGrid w:val="0"/>
    </w:pPr>
    <w:rPr>
      <w:sz w:val="18"/>
      <w:szCs w:val="18"/>
    </w:rPr>
  </w:style>
  <w:style w:type="paragraph" w:styleId="5">
    <w:name w:val="header"/>
    <w:basedOn w:val="1"/>
    <w:link w:val="35"/>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paragraph" w:customStyle="1" w:styleId="9">
    <w:name w:val="单元格样式22"/>
    <w:basedOn w:val="1"/>
    <w:qFormat/>
    <w:uiPriority w:val="0"/>
    <w:pPr>
      <w:jc w:val="right"/>
    </w:pPr>
    <w:rPr>
      <w:rFonts w:ascii="方正小标宋_GBK" w:hAnsi="方正小标宋_GBK" w:eastAsia="方正小标宋_GBK" w:cs="方正小标宋_GBK"/>
    </w:rPr>
  </w:style>
  <w:style w:type="paragraph" w:customStyle="1" w:styleId="10">
    <w:name w:val="单元格样式21"/>
    <w:basedOn w:val="1"/>
    <w:qFormat/>
    <w:uiPriority w:val="0"/>
    <w:pPr>
      <w:jc w:val="center"/>
    </w:pPr>
    <w:rPr>
      <w:rFonts w:ascii="方正小标宋_GBK" w:hAnsi="方正小标宋_GBK" w:eastAsia="方正小标宋_GBK" w:cs="方正小标宋_GBK"/>
    </w:rPr>
  </w:style>
  <w:style w:type="paragraph" w:customStyle="1" w:styleId="11">
    <w:name w:val="单元格样式20"/>
    <w:basedOn w:val="1"/>
    <w:qFormat/>
    <w:uiPriority w:val="0"/>
    <w:rPr>
      <w:rFonts w:ascii="方正小标宋_GBK" w:hAnsi="方正小标宋_GBK" w:eastAsia="方正小标宋_GBK" w:cs="方正小标宋_GBK"/>
    </w:rPr>
  </w:style>
  <w:style w:type="paragraph" w:customStyle="1" w:styleId="12">
    <w:name w:val="单元格样式1"/>
    <w:basedOn w:val="1"/>
    <w:qFormat/>
    <w:uiPriority w:val="0"/>
    <w:pPr>
      <w:jc w:val="center"/>
    </w:pPr>
    <w:rPr>
      <w:rFonts w:ascii="方正书宋_GBK" w:hAnsi="方正书宋_GBK" w:eastAsia="方正书宋_GBK" w:cs="方正书宋_GBK"/>
      <w:b/>
      <w:sz w:val="21"/>
    </w:rPr>
  </w:style>
  <w:style w:type="paragraph" w:customStyle="1" w:styleId="13">
    <w:name w:val="单元格样式4"/>
    <w:basedOn w:val="1"/>
    <w:qFormat/>
    <w:uiPriority w:val="0"/>
    <w:pPr>
      <w:jc w:val="right"/>
    </w:pPr>
    <w:rPr>
      <w:rFonts w:ascii="方正书宋_GBK" w:hAnsi="方正书宋_GBK" w:eastAsia="方正书宋_GBK" w:cs="方正书宋_GBK"/>
      <w:sz w:val="21"/>
    </w:rPr>
  </w:style>
  <w:style w:type="paragraph" w:customStyle="1" w:styleId="14">
    <w:name w:val="单元格样式2"/>
    <w:basedOn w:val="1"/>
    <w:qFormat/>
    <w:uiPriority w:val="0"/>
    <w:rPr>
      <w:rFonts w:ascii="方正书宋_GBK" w:hAnsi="方正书宋_GBK" w:eastAsia="方正书宋_GBK" w:cs="方正书宋_GBK"/>
      <w:sz w:val="21"/>
    </w:rPr>
  </w:style>
  <w:style w:type="paragraph" w:customStyle="1" w:styleId="15">
    <w:name w:val="单元格样式3"/>
    <w:basedOn w:val="1"/>
    <w:qFormat/>
    <w:uiPriority w:val="0"/>
    <w:pPr>
      <w:jc w:val="center"/>
    </w:pPr>
    <w:rPr>
      <w:rFonts w:ascii="方正书宋_GBK" w:hAnsi="方正书宋_GBK" w:eastAsia="方正书宋_GBK" w:cs="方正书宋_GBK"/>
      <w:sz w:val="21"/>
    </w:rPr>
  </w:style>
  <w:style w:type="paragraph" w:customStyle="1" w:styleId="16">
    <w:name w:val="单元格样式6"/>
    <w:basedOn w:val="1"/>
    <w:qFormat/>
    <w:uiPriority w:val="0"/>
    <w:pPr>
      <w:jc w:val="center"/>
    </w:pPr>
    <w:rPr>
      <w:rFonts w:ascii="方正书宋_GBK" w:hAnsi="方正书宋_GBK" w:eastAsia="方正书宋_GBK" w:cs="方正书宋_GBK"/>
      <w:b/>
      <w:sz w:val="21"/>
    </w:rPr>
  </w:style>
  <w:style w:type="paragraph" w:customStyle="1" w:styleId="17">
    <w:name w:val="单元格样式7"/>
    <w:basedOn w:val="1"/>
    <w:qFormat/>
    <w:uiPriority w:val="0"/>
    <w:pPr>
      <w:jc w:val="right"/>
    </w:pPr>
    <w:rPr>
      <w:rFonts w:ascii="方正书宋_GBK" w:hAnsi="方正书宋_GBK" w:eastAsia="方正书宋_GBK" w:cs="方正书宋_GBK"/>
      <w:b/>
      <w:sz w:val="21"/>
    </w:rPr>
  </w:style>
  <w:style w:type="paragraph" w:customStyle="1" w:styleId="18">
    <w:name w:val="单元格样式5"/>
    <w:basedOn w:val="1"/>
    <w:qFormat/>
    <w:uiPriority w:val="0"/>
    <w:rPr>
      <w:rFonts w:ascii="方正书宋_GBK" w:hAnsi="方正书宋_GBK" w:eastAsia="方正书宋_GBK" w:cs="方正书宋_GBK"/>
      <w:b/>
      <w:sz w:val="21"/>
    </w:rPr>
  </w:style>
  <w:style w:type="paragraph" w:customStyle="1" w:styleId="19">
    <w:name w:val="插入文本样式-插入部门职责文件"/>
    <w:basedOn w:val="1"/>
    <w:qFormat/>
    <w:uiPriority w:val="0"/>
    <w:pPr>
      <w:spacing w:line="500" w:lineRule="exact"/>
      <w:ind w:firstLine="560"/>
    </w:pPr>
    <w:rPr>
      <w:rFonts w:eastAsia="方正仿宋_GBK"/>
      <w:sz w:val="28"/>
    </w:rPr>
  </w:style>
  <w:style w:type="paragraph" w:customStyle="1" w:styleId="20">
    <w:name w:val="插入文本样式-插入预算公开部门预算安排的总体情况文件"/>
    <w:basedOn w:val="1"/>
    <w:qFormat/>
    <w:uiPriority w:val="0"/>
    <w:pPr>
      <w:spacing w:line="500" w:lineRule="exact"/>
      <w:ind w:firstLine="560"/>
    </w:pPr>
    <w:rPr>
      <w:rFonts w:eastAsia="方正仿宋_GBK"/>
      <w:sz w:val="28"/>
    </w:rPr>
  </w:style>
  <w:style w:type="paragraph" w:customStyle="1" w:styleId="21">
    <w:name w:val="插入文本样式-插入预算公开部门机关运行经费安排情况文件"/>
    <w:basedOn w:val="1"/>
    <w:qFormat/>
    <w:uiPriority w:val="0"/>
    <w:pPr>
      <w:spacing w:line="500" w:lineRule="exact"/>
      <w:ind w:firstLine="560"/>
    </w:pPr>
    <w:rPr>
      <w:rFonts w:eastAsia="方正仿宋_GBK"/>
      <w:sz w:val="28"/>
    </w:rPr>
  </w:style>
  <w:style w:type="paragraph" w:customStyle="1" w:styleId="22">
    <w:name w:val="插入文本样式-插入预算公开部门财政拨款三公经费预算情况及增减变化原因文件"/>
    <w:basedOn w:val="1"/>
    <w:qFormat/>
    <w:uiPriority w:val="0"/>
    <w:pPr>
      <w:spacing w:line="500" w:lineRule="exact"/>
      <w:ind w:firstLine="560"/>
    </w:pPr>
    <w:rPr>
      <w:rFonts w:eastAsia="方正仿宋_GBK"/>
      <w:sz w:val="28"/>
    </w:rPr>
  </w:style>
  <w:style w:type="paragraph" w:customStyle="1" w:styleId="23">
    <w:name w:val="插入文本样式-插入总体目标文件"/>
    <w:basedOn w:val="1"/>
    <w:qFormat/>
    <w:uiPriority w:val="0"/>
    <w:pPr>
      <w:spacing w:line="500" w:lineRule="exact"/>
      <w:ind w:firstLine="560"/>
    </w:pPr>
    <w:rPr>
      <w:rFonts w:eastAsia="方正仿宋_GBK"/>
      <w:sz w:val="28"/>
    </w:rPr>
  </w:style>
  <w:style w:type="paragraph" w:customStyle="1" w:styleId="24">
    <w:name w:val="插入文本样式-插入职责分类绩效目标文件"/>
    <w:basedOn w:val="1"/>
    <w:qFormat/>
    <w:uiPriority w:val="0"/>
    <w:pPr>
      <w:spacing w:line="500" w:lineRule="exact"/>
      <w:ind w:firstLine="560"/>
    </w:pPr>
    <w:rPr>
      <w:rFonts w:eastAsia="方正仿宋_GBK"/>
      <w:sz w:val="28"/>
    </w:rPr>
  </w:style>
  <w:style w:type="paragraph" w:customStyle="1" w:styleId="25">
    <w:name w:val="插入文本样式-插入实现年度发展规划目标的保障措施文件"/>
    <w:basedOn w:val="1"/>
    <w:qFormat/>
    <w:uiPriority w:val="0"/>
    <w:pPr>
      <w:spacing w:line="500" w:lineRule="exact"/>
      <w:ind w:firstLine="560"/>
    </w:pPr>
    <w:rPr>
      <w:rFonts w:eastAsia="方正仿宋_GBK"/>
      <w:sz w:val="28"/>
    </w:rPr>
  </w:style>
  <w:style w:type="paragraph" w:customStyle="1" w:styleId="26">
    <w:name w:val="单元格样式23"/>
    <w:basedOn w:val="1"/>
    <w:qFormat/>
    <w:uiPriority w:val="0"/>
    <w:pPr>
      <w:jc w:val="right"/>
    </w:pPr>
    <w:rPr>
      <w:rFonts w:ascii="方正书宋_GBK" w:hAnsi="方正书宋_GBK" w:eastAsia="方正书宋_GBK" w:cs="方正书宋_GBK"/>
    </w:rPr>
  </w:style>
  <w:style w:type="paragraph" w:customStyle="1" w:styleId="27">
    <w:name w:val="插入文本样式-插入单位职责文件"/>
    <w:basedOn w:val="1"/>
    <w:qFormat/>
    <w:uiPriority w:val="0"/>
    <w:pPr>
      <w:spacing w:line="500" w:lineRule="exact"/>
      <w:ind w:firstLine="560"/>
    </w:pPr>
    <w:rPr>
      <w:rFonts w:eastAsia="方正仿宋_GBK"/>
      <w:sz w:val="28"/>
    </w:rPr>
  </w:style>
  <w:style w:type="paragraph" w:customStyle="1" w:styleId="28">
    <w:name w:val="插入文本样式-插入预算公开单位预算安排的总体情况文件"/>
    <w:basedOn w:val="1"/>
    <w:qFormat/>
    <w:uiPriority w:val="0"/>
    <w:pPr>
      <w:spacing w:line="500" w:lineRule="exact"/>
      <w:ind w:firstLine="560"/>
    </w:pPr>
    <w:rPr>
      <w:rFonts w:eastAsia="方正仿宋_GBK"/>
      <w:sz w:val="28"/>
    </w:rPr>
  </w:style>
  <w:style w:type="paragraph" w:customStyle="1" w:styleId="29">
    <w:name w:val="插入文本样式-插入预算公开单位机关运行经费安排情况文件"/>
    <w:basedOn w:val="1"/>
    <w:qFormat/>
    <w:uiPriority w:val="0"/>
    <w:pPr>
      <w:spacing w:line="500" w:lineRule="exact"/>
      <w:ind w:firstLine="560"/>
    </w:pPr>
    <w:rPr>
      <w:rFonts w:eastAsia="方正仿宋_GBK"/>
      <w:sz w:val="28"/>
    </w:rPr>
  </w:style>
  <w:style w:type="paragraph" w:customStyle="1" w:styleId="30">
    <w:name w:val="插入文本样式-插入预算公开单位财政拨款三公经费预算情况及增减变化原因文件"/>
    <w:basedOn w:val="1"/>
    <w:qFormat/>
    <w:uiPriority w:val="0"/>
    <w:pPr>
      <w:spacing w:line="500" w:lineRule="exact"/>
      <w:ind w:firstLine="560"/>
    </w:pPr>
    <w:rPr>
      <w:rFonts w:eastAsia="方正仿宋_GBK"/>
      <w:sz w:val="28"/>
    </w:rPr>
  </w:style>
  <w:style w:type="paragraph" w:customStyle="1" w:styleId="31">
    <w:name w:val="TOC 2"/>
    <w:basedOn w:val="1"/>
    <w:qFormat/>
    <w:uiPriority w:val="0"/>
    <w:pPr>
      <w:ind w:left="240"/>
    </w:pPr>
  </w:style>
  <w:style w:type="paragraph" w:customStyle="1" w:styleId="32">
    <w:name w:val="TOC 3"/>
    <w:basedOn w:val="1"/>
    <w:qFormat/>
    <w:uiPriority w:val="0"/>
    <w:pPr>
      <w:ind w:left="480"/>
    </w:pPr>
  </w:style>
  <w:style w:type="paragraph" w:customStyle="1" w:styleId="33">
    <w:name w:val="TOC 4"/>
    <w:basedOn w:val="1"/>
    <w:qFormat/>
    <w:uiPriority w:val="0"/>
    <w:pPr>
      <w:ind w:left="720"/>
    </w:pPr>
  </w:style>
  <w:style w:type="paragraph" w:customStyle="1" w:styleId="34">
    <w:name w:val="TOC 1"/>
    <w:basedOn w:val="1"/>
    <w:qFormat/>
    <w:uiPriority w:val="0"/>
    <w:pPr>
      <w:spacing w:before="120"/>
      <w:ind w:firstLine="560"/>
    </w:pPr>
    <w:rPr>
      <w:rFonts w:eastAsia="方正仿宋_GBK"/>
      <w:color w:val="000000"/>
      <w:sz w:val="28"/>
    </w:rPr>
  </w:style>
  <w:style w:type="character" w:customStyle="1" w:styleId="35">
    <w:name w:val="页眉 Char"/>
    <w:basedOn w:val="8"/>
    <w:link w:val="5"/>
    <w:semiHidden/>
    <w:qFormat/>
    <w:uiPriority w:val="99"/>
    <w:rPr>
      <w:rFonts w:eastAsia="Times New Roman"/>
      <w:sz w:val="18"/>
      <w:szCs w:val="18"/>
      <w:lang w:eastAsia="uk-UA"/>
    </w:rPr>
  </w:style>
  <w:style w:type="character" w:customStyle="1" w:styleId="36">
    <w:name w:val="页脚 Char"/>
    <w:basedOn w:val="8"/>
    <w:link w:val="4"/>
    <w:semiHidden/>
    <w:qFormat/>
    <w:uiPriority w:val="99"/>
    <w:rPr>
      <w:rFonts w:eastAsia="Times New Roman"/>
      <w:sz w:val="18"/>
      <w:szCs w:val="18"/>
      <w:lang w:eastAsia="uk-UA"/>
    </w:rPr>
  </w:style>
  <w:style w:type="paragraph" w:customStyle="1" w:styleId="37">
    <w:name w:val="BodyText2"/>
    <w:basedOn w:val="1"/>
    <w:qFormat/>
    <w:uiPriority w:val="0"/>
    <w:pPr>
      <w:spacing w:after="120" w:line="480" w:lineRule="auto"/>
      <w:textAlignment w:val="baseline"/>
    </w:pPr>
  </w:style>
  <w:style w:type="table" w:customStyle="1" w:styleId="38">
    <w:name w:val="Table Normal"/>
    <w:unhideWhenUsed/>
    <w:qFormat/>
    <w:uiPriority w:val="0"/>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9" Type="http://schemas.openxmlformats.org/officeDocument/2006/relationships/customXml" Target="../customXml/item91.xml"/><Relationship Id="rId98" Type="http://schemas.openxmlformats.org/officeDocument/2006/relationships/customXml" Target="../customXml/item90.xml"/><Relationship Id="rId97" Type="http://schemas.openxmlformats.org/officeDocument/2006/relationships/customXml" Target="../customXml/item89.xml"/><Relationship Id="rId96" Type="http://schemas.openxmlformats.org/officeDocument/2006/relationships/customXml" Target="../customXml/item88.xml"/><Relationship Id="rId95" Type="http://schemas.openxmlformats.org/officeDocument/2006/relationships/customXml" Target="../customXml/item87.xml"/><Relationship Id="rId94" Type="http://schemas.openxmlformats.org/officeDocument/2006/relationships/customXml" Target="../customXml/item86.xml"/><Relationship Id="rId93" Type="http://schemas.openxmlformats.org/officeDocument/2006/relationships/customXml" Target="../customXml/item85.xml"/><Relationship Id="rId92" Type="http://schemas.openxmlformats.org/officeDocument/2006/relationships/customXml" Target="../customXml/item84.xml"/><Relationship Id="rId91" Type="http://schemas.openxmlformats.org/officeDocument/2006/relationships/customXml" Target="../customXml/item83.xml"/><Relationship Id="rId90" Type="http://schemas.openxmlformats.org/officeDocument/2006/relationships/customXml" Target="../customXml/item82.xml"/><Relationship Id="rId9" Type="http://schemas.openxmlformats.org/officeDocument/2006/relationships/numbering" Target="numbering.xml"/><Relationship Id="rId89" Type="http://schemas.openxmlformats.org/officeDocument/2006/relationships/customXml" Target="../customXml/item81.xml"/><Relationship Id="rId88" Type="http://schemas.openxmlformats.org/officeDocument/2006/relationships/customXml" Target="../customXml/item80.xml"/><Relationship Id="rId87" Type="http://schemas.openxmlformats.org/officeDocument/2006/relationships/customXml" Target="../customXml/item79.xml"/><Relationship Id="rId86" Type="http://schemas.openxmlformats.org/officeDocument/2006/relationships/customXml" Target="../customXml/item78.xml"/><Relationship Id="rId85" Type="http://schemas.openxmlformats.org/officeDocument/2006/relationships/customXml" Target="../customXml/item77.xml"/><Relationship Id="rId84" Type="http://schemas.openxmlformats.org/officeDocument/2006/relationships/customXml" Target="../customXml/item76.xml"/><Relationship Id="rId83" Type="http://schemas.openxmlformats.org/officeDocument/2006/relationships/customXml" Target="../customXml/item75.xml"/><Relationship Id="rId82" Type="http://schemas.openxmlformats.org/officeDocument/2006/relationships/customXml" Target="../customXml/item74.xml"/><Relationship Id="rId81" Type="http://schemas.openxmlformats.org/officeDocument/2006/relationships/customXml" Target="../customXml/item73.xml"/><Relationship Id="rId80" Type="http://schemas.openxmlformats.org/officeDocument/2006/relationships/customXml" Target="../customXml/item72.xml"/><Relationship Id="rId8" Type="http://schemas.openxmlformats.org/officeDocument/2006/relationships/customXml" Target="../customXml/item1.xml"/><Relationship Id="rId79" Type="http://schemas.openxmlformats.org/officeDocument/2006/relationships/customXml" Target="../customXml/item71.xml"/><Relationship Id="rId78" Type="http://schemas.openxmlformats.org/officeDocument/2006/relationships/customXml" Target="../customXml/item70.xml"/><Relationship Id="rId77" Type="http://schemas.openxmlformats.org/officeDocument/2006/relationships/customXml" Target="../customXml/item69.xml"/><Relationship Id="rId76" Type="http://schemas.openxmlformats.org/officeDocument/2006/relationships/customXml" Target="../customXml/item68.xml"/><Relationship Id="rId75" Type="http://schemas.openxmlformats.org/officeDocument/2006/relationships/customXml" Target="../customXml/item67.xml"/><Relationship Id="rId74" Type="http://schemas.openxmlformats.org/officeDocument/2006/relationships/customXml" Target="../customXml/item66.xml"/><Relationship Id="rId73" Type="http://schemas.openxmlformats.org/officeDocument/2006/relationships/customXml" Target="../customXml/item65.xml"/><Relationship Id="rId72" Type="http://schemas.openxmlformats.org/officeDocument/2006/relationships/customXml" Target="../customXml/item64.xml"/><Relationship Id="rId71" Type="http://schemas.openxmlformats.org/officeDocument/2006/relationships/customXml" Target="../customXml/item63.xml"/><Relationship Id="rId70" Type="http://schemas.openxmlformats.org/officeDocument/2006/relationships/customXml" Target="../customXml/item62.xml"/><Relationship Id="rId7" Type="http://schemas.openxmlformats.org/officeDocument/2006/relationships/theme" Target="theme/theme1.xml"/><Relationship Id="rId69" Type="http://schemas.openxmlformats.org/officeDocument/2006/relationships/customXml" Target="../customXml/item61.xml"/><Relationship Id="rId68" Type="http://schemas.openxmlformats.org/officeDocument/2006/relationships/customXml" Target="../customXml/item60.xml"/><Relationship Id="rId67" Type="http://schemas.openxmlformats.org/officeDocument/2006/relationships/customXml" Target="../customXml/item59.xml"/><Relationship Id="rId66" Type="http://schemas.openxmlformats.org/officeDocument/2006/relationships/customXml" Target="../customXml/item58.xml"/><Relationship Id="rId65" Type="http://schemas.openxmlformats.org/officeDocument/2006/relationships/customXml" Target="../customXml/item57.xml"/><Relationship Id="rId64" Type="http://schemas.openxmlformats.org/officeDocument/2006/relationships/customXml" Target="../customXml/item56.xml"/><Relationship Id="rId63" Type="http://schemas.openxmlformats.org/officeDocument/2006/relationships/customXml" Target="../customXml/item55.xml"/><Relationship Id="rId62" Type="http://schemas.openxmlformats.org/officeDocument/2006/relationships/customXml" Target="../customXml/item54.xml"/><Relationship Id="rId61" Type="http://schemas.openxmlformats.org/officeDocument/2006/relationships/customXml" Target="../customXml/item53.xml"/><Relationship Id="rId60" Type="http://schemas.openxmlformats.org/officeDocument/2006/relationships/customXml" Target="../customXml/item52.xml"/><Relationship Id="rId6" Type="http://schemas.openxmlformats.org/officeDocument/2006/relationships/footer" Target="footer4.xml"/><Relationship Id="rId59" Type="http://schemas.openxmlformats.org/officeDocument/2006/relationships/customXml" Target="../customXml/item51.xml"/><Relationship Id="rId58" Type="http://schemas.openxmlformats.org/officeDocument/2006/relationships/customXml" Target="../customXml/item50.xml"/><Relationship Id="rId57" Type="http://schemas.openxmlformats.org/officeDocument/2006/relationships/customXml" Target="../customXml/item49.xml"/><Relationship Id="rId56" Type="http://schemas.openxmlformats.org/officeDocument/2006/relationships/customXml" Target="../customXml/item48.xml"/><Relationship Id="rId55" Type="http://schemas.openxmlformats.org/officeDocument/2006/relationships/customXml" Target="../customXml/item47.xml"/><Relationship Id="rId54" Type="http://schemas.openxmlformats.org/officeDocument/2006/relationships/customXml" Target="../customXml/item46.xml"/><Relationship Id="rId53" Type="http://schemas.openxmlformats.org/officeDocument/2006/relationships/customXml" Target="../customXml/item45.xml"/><Relationship Id="rId52" Type="http://schemas.openxmlformats.org/officeDocument/2006/relationships/customXml" Target="../customXml/item44.xml"/><Relationship Id="rId51" Type="http://schemas.openxmlformats.org/officeDocument/2006/relationships/customXml" Target="../customXml/item43.xml"/><Relationship Id="rId50" Type="http://schemas.openxmlformats.org/officeDocument/2006/relationships/customXml" Target="../customXml/item42.xml"/><Relationship Id="rId5" Type="http://schemas.openxmlformats.org/officeDocument/2006/relationships/footer" Target="footer3.xml"/><Relationship Id="rId49" Type="http://schemas.openxmlformats.org/officeDocument/2006/relationships/customXml" Target="../customXml/item41.xml"/><Relationship Id="rId48" Type="http://schemas.openxmlformats.org/officeDocument/2006/relationships/customXml" Target="../customXml/item40.xml"/><Relationship Id="rId47" Type="http://schemas.openxmlformats.org/officeDocument/2006/relationships/customXml" Target="../customXml/item39.xml"/><Relationship Id="rId46" Type="http://schemas.openxmlformats.org/officeDocument/2006/relationships/customXml" Target="../customXml/item38.xml"/><Relationship Id="rId45" Type="http://schemas.openxmlformats.org/officeDocument/2006/relationships/customXml" Target="../customXml/item37.xml"/><Relationship Id="rId44" Type="http://schemas.openxmlformats.org/officeDocument/2006/relationships/customXml" Target="../customXml/item36.xml"/><Relationship Id="rId43" Type="http://schemas.openxmlformats.org/officeDocument/2006/relationships/customXml" Target="../customXml/item35.xml"/><Relationship Id="rId42" Type="http://schemas.openxmlformats.org/officeDocument/2006/relationships/customXml" Target="../customXml/item34.xml"/><Relationship Id="rId41" Type="http://schemas.openxmlformats.org/officeDocument/2006/relationships/customXml" Target="../customXml/item33.xml"/><Relationship Id="rId40" Type="http://schemas.openxmlformats.org/officeDocument/2006/relationships/customXml" Target="../customXml/item32.xml"/><Relationship Id="rId4" Type="http://schemas.openxmlformats.org/officeDocument/2006/relationships/footer" Target="footer2.xml"/><Relationship Id="rId39" Type="http://schemas.openxmlformats.org/officeDocument/2006/relationships/customXml" Target="../customXml/item31.xml"/><Relationship Id="rId38" Type="http://schemas.openxmlformats.org/officeDocument/2006/relationships/customXml" Target="../customXml/item30.xml"/><Relationship Id="rId37" Type="http://schemas.openxmlformats.org/officeDocument/2006/relationships/customXml" Target="../customXml/item29.xml"/><Relationship Id="rId36" Type="http://schemas.openxmlformats.org/officeDocument/2006/relationships/customXml" Target="../customXml/item28.xml"/><Relationship Id="rId35" Type="http://schemas.openxmlformats.org/officeDocument/2006/relationships/customXml" Target="../customXml/item27.xml"/><Relationship Id="rId34" Type="http://schemas.openxmlformats.org/officeDocument/2006/relationships/customXml" Target="../customXml/item26.xml"/><Relationship Id="rId33" Type="http://schemas.openxmlformats.org/officeDocument/2006/relationships/customXml" Target="../customXml/item25.xml"/><Relationship Id="rId32" Type="http://schemas.openxmlformats.org/officeDocument/2006/relationships/customXml" Target="../customXml/item24.xml"/><Relationship Id="rId31" Type="http://schemas.openxmlformats.org/officeDocument/2006/relationships/customXml" Target="../customXml/item23.xml"/><Relationship Id="rId30" Type="http://schemas.openxmlformats.org/officeDocument/2006/relationships/customXml" Target="../customXml/item22.xml"/><Relationship Id="rId3" Type="http://schemas.openxmlformats.org/officeDocument/2006/relationships/footer" Target="footer1.xml"/><Relationship Id="rId29" Type="http://schemas.openxmlformats.org/officeDocument/2006/relationships/customXml" Target="../customXml/item21.xml"/><Relationship Id="rId28" Type="http://schemas.openxmlformats.org/officeDocument/2006/relationships/customXml" Target="../customXml/item20.xml"/><Relationship Id="rId27" Type="http://schemas.openxmlformats.org/officeDocument/2006/relationships/customXml" Target="../customXml/item19.xml"/><Relationship Id="rId26" Type="http://schemas.openxmlformats.org/officeDocument/2006/relationships/customXml" Target="../customXml/item18.xml"/><Relationship Id="rId25" Type="http://schemas.openxmlformats.org/officeDocument/2006/relationships/customXml" Target="../customXml/item17.xml"/><Relationship Id="rId24" Type="http://schemas.openxmlformats.org/officeDocument/2006/relationships/customXml" Target="../customXml/item16.xml"/><Relationship Id="rId23" Type="http://schemas.openxmlformats.org/officeDocument/2006/relationships/customXml" Target="../customXml/item15.xml"/><Relationship Id="rId22" Type="http://schemas.openxmlformats.org/officeDocument/2006/relationships/customXml" Target="../customXml/item14.xml"/><Relationship Id="rId21" Type="http://schemas.openxmlformats.org/officeDocument/2006/relationships/customXml" Target="../customXml/item13.xml"/><Relationship Id="rId20" Type="http://schemas.openxmlformats.org/officeDocument/2006/relationships/customXml" Target="../customXml/item12.xml"/><Relationship Id="rId2" Type="http://schemas.openxmlformats.org/officeDocument/2006/relationships/settings" Target="settings.xml"/><Relationship Id="rId19" Type="http://schemas.openxmlformats.org/officeDocument/2006/relationships/customXml" Target="../customXml/item11.xml"/><Relationship Id="rId18" Type="http://schemas.openxmlformats.org/officeDocument/2006/relationships/customXml" Target="../customXml/item10.xml"/><Relationship Id="rId17" Type="http://schemas.openxmlformats.org/officeDocument/2006/relationships/customXml" Target="../customXml/item9.xml"/><Relationship Id="rId16" Type="http://schemas.openxmlformats.org/officeDocument/2006/relationships/customXml" Target="../customXml/item8.xml"/><Relationship Id="rId15" Type="http://schemas.openxmlformats.org/officeDocument/2006/relationships/customXml" Target="../customXml/item7.xml"/><Relationship Id="rId14" Type="http://schemas.openxmlformats.org/officeDocument/2006/relationships/customXml" Target="../customXml/item6.xml"/><Relationship Id="rId13" Type="http://schemas.openxmlformats.org/officeDocument/2006/relationships/customXml" Target="../customXml/item5.xml"/><Relationship Id="rId12" Type="http://schemas.openxmlformats.org/officeDocument/2006/relationships/customXml" Target="../customXml/item4.xml"/><Relationship Id="rId11" Type="http://schemas.openxmlformats.org/officeDocument/2006/relationships/customXml" Target="../customXml/item3.xml"/><Relationship Id="rId104" Type="http://schemas.openxmlformats.org/officeDocument/2006/relationships/fontTable" Target="fontTable.xml"/><Relationship Id="rId103" Type="http://schemas.openxmlformats.org/officeDocument/2006/relationships/customXml" Target="../customXml/item95.xml"/><Relationship Id="rId102" Type="http://schemas.openxmlformats.org/officeDocument/2006/relationships/customXml" Target="../customXml/item94.xml"/><Relationship Id="rId101" Type="http://schemas.openxmlformats.org/officeDocument/2006/relationships/customXml" Target="../customXml/item93.xml"/><Relationship Id="rId100" Type="http://schemas.openxmlformats.org/officeDocument/2006/relationships/customXml" Target="../customXml/item92.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80.xml.rels><?xml version="1.0" encoding="UTF-8" standalone="yes"?>
<Relationships xmlns="http://schemas.openxmlformats.org/package/2006/relationships"><Relationship Id="rId1" Type="http://schemas.openxmlformats.org/officeDocument/2006/relationships/customXmlProps" Target="itemProps80.xml"/></Relationships>
</file>

<file path=customXml/_rels/item81.xml.rels><?xml version="1.0" encoding="UTF-8" standalone="yes"?>
<Relationships xmlns="http://schemas.openxmlformats.org/package/2006/relationships"><Relationship Id="rId1" Type="http://schemas.openxmlformats.org/officeDocument/2006/relationships/customXmlProps" Target="itemProps81.xml"/></Relationships>
</file>

<file path=customXml/_rels/item82.xml.rels><?xml version="1.0" encoding="UTF-8" standalone="yes"?>
<Relationships xmlns="http://schemas.openxmlformats.org/package/2006/relationships"><Relationship Id="rId1" Type="http://schemas.openxmlformats.org/officeDocument/2006/relationships/customXmlProps" Target="itemProps82.xml"/></Relationships>
</file>

<file path=customXml/_rels/item83.xml.rels><?xml version="1.0" encoding="UTF-8" standalone="yes"?>
<Relationships xmlns="http://schemas.openxmlformats.org/package/2006/relationships"><Relationship Id="rId1" Type="http://schemas.openxmlformats.org/officeDocument/2006/relationships/customXmlProps" Target="itemProps83.xml"/></Relationships>
</file>

<file path=customXml/_rels/item84.xml.rels><?xml version="1.0" encoding="UTF-8" standalone="yes"?>
<Relationships xmlns="http://schemas.openxmlformats.org/package/2006/relationships"><Relationship Id="rId1" Type="http://schemas.openxmlformats.org/officeDocument/2006/relationships/customXmlProps" Target="itemProps84.xml"/></Relationships>
</file>

<file path=customXml/_rels/item85.xml.rels><?xml version="1.0" encoding="UTF-8" standalone="yes"?>
<Relationships xmlns="http://schemas.openxmlformats.org/package/2006/relationships"><Relationship Id="rId1" Type="http://schemas.openxmlformats.org/officeDocument/2006/relationships/customXmlProps" Target="itemProps85.xml"/></Relationships>
</file>

<file path=customXml/_rels/item86.xml.rels><?xml version="1.0" encoding="UTF-8" standalone="yes"?>
<Relationships xmlns="http://schemas.openxmlformats.org/package/2006/relationships"><Relationship Id="rId1" Type="http://schemas.openxmlformats.org/officeDocument/2006/relationships/customXmlProps" Target="itemProps86.xml"/></Relationships>
</file>

<file path=customXml/_rels/item87.xml.rels><?xml version="1.0" encoding="UTF-8" standalone="yes"?>
<Relationships xmlns="http://schemas.openxmlformats.org/package/2006/relationships"><Relationship Id="rId1" Type="http://schemas.openxmlformats.org/officeDocument/2006/relationships/customXmlProps" Target="itemProps87.xml"/></Relationships>
</file>

<file path=customXml/_rels/item88.xml.rels><?xml version="1.0" encoding="UTF-8" standalone="yes"?>
<Relationships xmlns="http://schemas.openxmlformats.org/package/2006/relationships"><Relationship Id="rId1" Type="http://schemas.openxmlformats.org/officeDocument/2006/relationships/customXmlProps" Target="itemProps88.xml"/></Relationships>
</file>

<file path=customXml/_rels/item89.xml.rels><?xml version="1.0" encoding="UTF-8" standalone="yes"?>
<Relationships xmlns="http://schemas.openxmlformats.org/package/2006/relationships"><Relationship Id="rId1" Type="http://schemas.openxmlformats.org/officeDocument/2006/relationships/customXmlProps" Target="itemProps89.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_rels/item90.xml.rels><?xml version="1.0" encoding="UTF-8" standalone="yes"?>
<Relationships xmlns="http://schemas.openxmlformats.org/package/2006/relationships"><Relationship Id="rId1" Type="http://schemas.openxmlformats.org/officeDocument/2006/relationships/customXmlProps" Target="itemProps90.xml"/></Relationships>
</file>

<file path=customXml/_rels/item91.xml.rels><?xml version="1.0" encoding="UTF-8" standalone="yes"?>
<Relationships xmlns="http://schemas.openxmlformats.org/package/2006/relationships"><Relationship Id="rId1" Type="http://schemas.openxmlformats.org/officeDocument/2006/relationships/customXmlProps" Target="itemProps91.xml"/></Relationships>
</file>

<file path=customXml/_rels/item92.xml.rels><?xml version="1.0" encoding="UTF-8" standalone="yes"?>
<Relationships xmlns="http://schemas.openxmlformats.org/package/2006/relationships"><Relationship Id="rId1" Type="http://schemas.openxmlformats.org/officeDocument/2006/relationships/customXmlProps" Target="itemProps92.xml"/></Relationships>
</file>

<file path=customXml/_rels/item93.xml.rels><?xml version="1.0" encoding="UTF-8" standalone="yes"?>
<Relationships xmlns="http://schemas.openxmlformats.org/package/2006/relationships"><Relationship Id="rId1" Type="http://schemas.openxmlformats.org/officeDocument/2006/relationships/customXmlProps" Target="itemProps93.xml"/></Relationships>
</file>

<file path=customXml/_rels/item94.xml.rels><?xml version="1.0" encoding="UTF-8" standalone="yes"?>
<Relationships xmlns="http://schemas.openxmlformats.org/package/2006/relationships"><Relationship Id="rId1" Type="http://schemas.openxmlformats.org/officeDocument/2006/relationships/customXmlProps" Target="itemProps94.xml"/></Relationships>
</file>

<file path=customXml/_rels/item95.xml.rels><?xml version="1.0" encoding="UTF-8" standalone="yes"?>
<Relationships xmlns="http://schemas.openxmlformats.org/package/2006/relationships"><Relationship Id="rId1" Type="http://schemas.openxmlformats.org/officeDocument/2006/relationships/customXmlProps" Target="itemProps95.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3075"/>
    <customShpInfo spid="_x0000_s3076"/>
  </customShpExts>
</s:customData>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2023-02-07T09:11:34Z</dcterms:created>
  <dcterms:modified xsi:type="dcterms:W3CDTF">2023-02-07T01:11:34Z</dcterms:modified>
</cp:coreProperties>
</file>

<file path=customXml/item11.xml><?xml version="1.0" encoding="utf-8"?>
<Properties xmlns:vt="http://schemas.openxmlformats.org/officeDocument/2006/docPropsVTypes" xmlns="http://schemas.openxmlformats.org/officeDocument/2006/extended-properties">
  <Application>Spire.Doc</Application>
  <AppVersion>12.0000</AppVersion>
</Properties>
</file>

<file path=customXml/item1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2023-02-07T09:11:34Z</dcterms:created>
  <dcterms:modified xsi:type="dcterms:W3CDTF">2023-02-07T01:11:34Z</dcterms:modified>
</cp:coreProperties>
</file>

<file path=customXml/item1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2023-02-07T09:11:33Z</dcterms:created>
  <dcterms:modified xsi:type="dcterms:W3CDTF">2023-02-07T01:11:33Z</dcterms:modified>
</cp:coreProperties>
</file>

<file path=customXml/item14.xml><?xml version="1.0" encoding="utf-8"?>
<Properties xmlns:vt="http://schemas.openxmlformats.org/officeDocument/2006/docPropsVTypes" xmlns="http://schemas.openxmlformats.org/officeDocument/2006/extended-properties">
  <Application>Spire.Doc</Application>
  <AppVersion>12.0000</AppVersion>
</Properties>
</file>

<file path=customXml/item15.xml><?xml version="1.0" encoding="utf-8"?>
<Properties xmlns:vt="http://schemas.openxmlformats.org/officeDocument/2006/docPropsVTypes" xmlns="http://schemas.openxmlformats.org/officeDocument/2006/extended-properties">
  <Application>Spire.Doc</Application>
  <AppVersion>12.0000</AppVersion>
</Properties>
</file>

<file path=customXml/item16.xml><?xml version="1.0" encoding="utf-8"?>
<Properties xmlns:vt="http://schemas.openxmlformats.org/officeDocument/2006/docPropsVTypes" xmlns="http://schemas.openxmlformats.org/officeDocument/2006/extended-properties">
  <Application>Spire.Doc</Application>
  <AppVersion>12.0000</AppVersion>
</Properties>
</file>

<file path=customXml/item1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2023-02-07T09:11:26Z</dcterms:created>
  <dcterms:modified xsi:type="dcterms:W3CDTF">2023-02-07T01:11:26Z</dcterms:modified>
</cp:coreProperties>
</file>

<file path=customXml/item1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2023-02-07T09:11:33Z</dcterms:created>
  <dcterms:modified xsi:type="dcterms:W3CDTF">2023-02-07T01:11:33Z</dcterms:modified>
</cp:coreProperties>
</file>

<file path=customXml/item19.xml><?xml version="1.0" encoding="utf-8"?>
<Properties xmlns:vt="http://schemas.openxmlformats.org/officeDocument/2006/docPropsVTypes" xmlns="http://schemas.openxmlformats.org/officeDocument/2006/extended-properties">
  <Application>Spire.Doc</Application>
  <AppVersion>12.0000</AppVersion>
</Properties>
</file>

<file path=customXml/item2.xml><?xml version="1.0" encoding="utf-8"?>
<Properties xmlns:vt="http://schemas.openxmlformats.org/officeDocument/2006/docPropsVTypes" xmlns="http://schemas.openxmlformats.org/officeDocument/2006/extended-properties">
  <Application>Spire.Doc</Application>
  <AppVersion>12.0000</AppVersion>
</Properties>
</file>

<file path=customXml/item2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2023-02-07T09:11:33Z</dcterms:created>
  <dcterms:modified xsi:type="dcterms:W3CDTF">2023-02-07T01:11:33Z</dcterms:modified>
</cp:coreProperties>
</file>

<file path=customXml/item2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2023-02-07T09:11:30Z</dcterms:created>
  <dcterms:modified xsi:type="dcterms:W3CDTF">2023-02-07T01:11:30Z</dcterms:modified>
</cp:coreProperties>
</file>

<file path=customXml/item22.xml><?xml version="1.0" encoding="utf-8"?>
<Properties xmlns:vt="http://schemas.openxmlformats.org/officeDocument/2006/docPropsVTypes" xmlns="http://schemas.openxmlformats.org/officeDocument/2006/extended-properties">
  <Application>Spire.Doc</Application>
  <AppVersion>12.0000</AppVersion>
</Properties>
</file>

<file path=customXml/item23.xml><?xml version="1.0" encoding="utf-8"?>
<Properties xmlns:vt="http://schemas.openxmlformats.org/officeDocument/2006/docPropsVTypes" xmlns="http://schemas.openxmlformats.org/officeDocument/2006/extended-properties">
  <Application>Spire.Doc</Application>
  <AppVersion>12.0000</AppVersion>
</Properties>
</file>

<file path=customXml/item2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2023-02-07T09:11:26Z</dcterms:created>
  <dcterms:modified xsi:type="dcterms:W3CDTF">2023-02-07T01:11:26Z</dcterms:modified>
</cp:coreProperties>
</file>

<file path=customXml/item2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2023-02-07T09:11:25Z</dcterms:created>
  <dcterms:modified xsi:type="dcterms:W3CDTF">2023-02-07T01:11:25Z</dcterms:modified>
</cp:coreProperties>
</file>

<file path=customXml/item26.xml><?xml version="1.0" encoding="utf-8"?>
<Properties xmlns:vt="http://schemas.openxmlformats.org/officeDocument/2006/docPropsVTypes" xmlns="http://schemas.openxmlformats.org/officeDocument/2006/extended-properties">
  <Application>Spire.Doc</Application>
  <AppVersion>12.0000</AppVersion>
</Properties>
</file>

<file path=customXml/item2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2023-02-07T09:11:21Z</dcterms:created>
  <dcterms:modified xsi:type="dcterms:W3CDTF">2023-02-07T01:11:20Z</dcterms:modified>
</cp:coreProperties>
</file>

<file path=customXml/item2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2023-02-07T09:11:35Z</dcterms:created>
  <dcterms:modified xsi:type="dcterms:W3CDTF">2023-02-07T01:11:35Z</dcterms:modified>
</cp:coreProperties>
</file>

<file path=customXml/item2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2023-02-07T09:11:33Z</dcterms:created>
  <dcterms:modified xsi:type="dcterms:W3CDTF">2023-02-07T01:11:33Z</dcterms:modified>
</cp:coreProperties>
</file>

<file path=customXml/item3.xml><?xml version="1.0" encoding="utf-8"?>
<Properties xmlns:vt="http://schemas.openxmlformats.org/officeDocument/2006/docPropsVTypes" xmlns="http://schemas.openxmlformats.org/officeDocument/2006/extended-properties">
  <Application>Spire.Doc</Application>
  <AppVersion>12.0000</AppVersion>
</Properties>
</file>

<file path=customXml/item30.xml><?xml version="1.0" encoding="utf-8"?>
<Properties xmlns:vt="http://schemas.openxmlformats.org/officeDocument/2006/docPropsVTypes" xmlns="http://schemas.openxmlformats.org/officeDocument/2006/extended-properties">
  <Application>Spire.Doc</Application>
  <AppVersion>12.0000</AppVersion>
</Properties>
</file>

<file path=customXml/item3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2023-02-07T09:11:34Z</dcterms:created>
  <dcterms:modified xsi:type="dcterms:W3CDTF">2023-02-07T01:11:34Z</dcterms:modified>
</cp:coreProperties>
</file>

<file path=customXml/item3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2023-02-07T09:11:34Z</dcterms:created>
  <dcterms:modified xsi:type="dcterms:W3CDTF">2023-02-07T01:11:34Z</dcterms:modified>
</cp:coreProperties>
</file>

<file path=customXml/item33.xml><?xml version="1.0" encoding="utf-8"?>
<Properties xmlns:vt="http://schemas.openxmlformats.org/officeDocument/2006/docPropsVTypes" xmlns="http://schemas.openxmlformats.org/officeDocument/2006/extended-properties">
  <Application>Spire.Doc</Application>
  <AppVersion>12.0000</AppVersion>
</Properties>
</file>

<file path=customXml/item34.xml><?xml version="1.0" encoding="utf-8"?>
<Properties xmlns:vt="http://schemas.openxmlformats.org/officeDocument/2006/docPropsVTypes" xmlns="http://schemas.openxmlformats.org/officeDocument/2006/extended-properties">
  <Application>Spire.Doc</Application>
  <AppVersion>12.0000</AppVersion>
</Properties>
</file>

<file path=customXml/item35.xml><?xml version="1.0" encoding="utf-8"?>
<Properties xmlns:vt="http://schemas.openxmlformats.org/officeDocument/2006/docPropsVTypes" xmlns="http://schemas.openxmlformats.org/officeDocument/2006/extended-properties">
  <Application>Spire.Doc</Application>
  <AppVersion>12.0000</AppVersion>
</Properties>
</file>

<file path=customXml/item3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2023-02-07T09:11:27Z</dcterms:created>
  <dcterms:modified xsi:type="dcterms:W3CDTF">2023-02-07T01:11:27Z</dcterms:modified>
</cp:coreProperties>
</file>

<file path=customXml/item37.xml><?xml version="1.0" encoding="utf-8"?>
<Properties xmlns:vt="http://schemas.openxmlformats.org/officeDocument/2006/docPropsVTypes" xmlns="http://schemas.openxmlformats.org/officeDocument/2006/extended-properties">
  <Application>Spire.Doc</Application>
  <AppVersion>12.0000</AppVersion>
</Properties>
</file>

<file path=customXml/item3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2023-02-07T09:11:34Z</dcterms:created>
  <dcterms:modified xsi:type="dcterms:W3CDTF">2023-02-07T01:11:34Z</dcterms:modified>
</cp:coreProperties>
</file>

<file path=customXml/item3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2023-02-07T09:11:33Z</dcterms:created>
  <dcterms:modified xsi:type="dcterms:W3CDTF">2023-02-07T01:11:33Z</dcterms:modified>
</cp:coreProperties>
</file>

<file path=customXml/item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2023-02-07T09:11:25Z</dcterms:created>
  <dcterms:modified xsi:type="dcterms:W3CDTF">2023-02-07T01:11:25Z</dcterms:modified>
</cp:coreProperties>
</file>

<file path=customXml/item40.xml><?xml version="1.0" encoding="utf-8"?>
<Properties xmlns:vt="http://schemas.openxmlformats.org/officeDocument/2006/docPropsVTypes" xmlns="http://schemas.openxmlformats.org/officeDocument/2006/extended-properties">
  <Application>Spire.Doc</Application>
  <AppVersion>12.0000</AppVersion>
</Properties>
</file>

<file path=customXml/item41.xml><?xml version="1.0" encoding="utf-8"?>
<Properties xmlns:vt="http://schemas.openxmlformats.org/officeDocument/2006/docPropsVTypes" xmlns="http://schemas.openxmlformats.org/officeDocument/2006/extended-properties">
  <Application>Spire.Doc</Application>
  <AppVersion>12.0000</AppVersion>
</Properties>
</file>

<file path=customXml/item42.xml><?xml version="1.0" encoding="utf-8"?>
<Properties xmlns:vt="http://schemas.openxmlformats.org/officeDocument/2006/docPropsVTypes" xmlns="http://schemas.openxmlformats.org/officeDocument/2006/extended-properties">
  <Application>Spire.Doc</Application>
  <AppVersion>12.0000</AppVersion>
</Properties>
</file>

<file path=customXml/item4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2023-02-07T09:11:26Z</dcterms:created>
  <dcterms:modified xsi:type="dcterms:W3CDTF">2023-02-07T01:11:26Z</dcterms:modified>
</cp:coreProperties>
</file>

<file path=customXml/item4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2023-02-07T09:11:26Z</dcterms:created>
  <dcterms:modified xsi:type="dcterms:W3CDTF">2023-02-07T01:11:26Z</dcterms:modified>
</cp:coreProperties>
</file>

<file path=customXml/item4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2023-02-07T09:11:25Z</dcterms:created>
  <dcterms:modified xsi:type="dcterms:W3CDTF">2023-02-07T01:11:25Z</dcterms:modified>
</cp:coreProperties>
</file>

<file path=customXml/item46.xml><?xml version="1.0" encoding="utf-8"?>
<Properties xmlns:vt="http://schemas.openxmlformats.org/officeDocument/2006/docPropsVTypes" xmlns="http://schemas.openxmlformats.org/officeDocument/2006/extended-properties">
  <Application>Spire.Doc</Application>
  <AppVersion>12.0000</AppVersion>
</Properties>
</file>

<file path=customXml/item4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2023-02-07T09:11:25Z</dcterms:created>
  <dcterms:modified xsi:type="dcterms:W3CDTF">2023-02-07T01:11:25Z</dcterms:modified>
</cp:coreProperties>
</file>

<file path=customXml/item4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2023-02-07T09:11:35Z</dcterms:created>
  <dcterms:modified xsi:type="dcterms:W3CDTF">2023-02-07T01:11:35Z</dcterms:modified>
</cp:coreProperties>
</file>

<file path=customXml/item4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2023-02-07T09:11:35Z</dcterms:created>
  <dcterms:modified xsi:type="dcterms:W3CDTF">2023-02-07T01:11:35Z</dcterms:modified>
</cp:core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2023-02-07T09:11:25Z</dcterms:created>
  <dcterms:modified xsi:type="dcterms:W3CDTF">2023-02-07T01:11:25Z</dcterms:modified>
</cp:coreProperties>
</file>

<file path=customXml/item50.xml><?xml version="1.0" encoding="utf-8"?>
<Properties xmlns:vt="http://schemas.openxmlformats.org/officeDocument/2006/docPropsVTypes" xmlns="http://schemas.openxmlformats.org/officeDocument/2006/extended-properties">
  <Application>Spire.Doc</Application>
  <AppVersion>12.0000</AppVersion>
</Properties>
</file>

<file path=customXml/item5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2023-02-07T09:11:27Z</dcterms:created>
  <dcterms:modified xsi:type="dcterms:W3CDTF">2023-02-07T01:11:27Z</dcterms:modified>
</cp:coreProperties>
</file>

<file path=customXml/item52.xml><?xml version="1.0" encoding="utf-8"?>
<Properties xmlns:vt="http://schemas.openxmlformats.org/officeDocument/2006/docPropsVTypes" xmlns="http://schemas.openxmlformats.org/officeDocument/2006/extended-properties">
  <Application>Spire.Doc</Application>
  <AppVersion>12.0000</AppVersion>
</Properties>
</file>

<file path=customXml/item53.xml><?xml version="1.0" encoding="utf-8"?>
<Properties xmlns:vt="http://schemas.openxmlformats.org/officeDocument/2006/docPropsVTypes" xmlns="http://schemas.openxmlformats.org/officeDocument/2006/extended-properties">
  <Application>Spire.Doc</Application>
  <AppVersion>12.0000</AppVersion>
</Properties>
</file>

<file path=customXml/item5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2023-02-07T09:11:33Z</dcterms:created>
  <dcterms:modified xsi:type="dcterms:W3CDTF">2023-02-07T01:11:33Z</dcterms:modified>
</cp:coreProperties>
</file>

<file path=customXml/item5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2023-02-07T09:11:34Z</dcterms:created>
  <dcterms:modified xsi:type="dcterms:W3CDTF">2023-02-07T01:11:34Z</dcterms:modified>
</cp:coreProperties>
</file>

<file path=customXml/item5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2023-02-07T09:11:34Z</dcterms:created>
  <dcterms:modified xsi:type="dcterms:W3CDTF">2023-02-07T01:11:34Z</dcterms:modified>
</cp:coreProperties>
</file>

<file path=customXml/item57.xml><?xml version="1.0" encoding="utf-8"?>
<Properties xmlns:vt="http://schemas.openxmlformats.org/officeDocument/2006/docPropsVTypes" xmlns="http://schemas.openxmlformats.org/officeDocument/2006/extended-properties">
  <Application>Spire.Doc</Application>
  <AppVersion>12.0000</AppVersion>
</Properties>
</file>

<file path=customXml/item58.xml><?xml version="1.0" encoding="utf-8"?>
<Properties xmlns:vt="http://schemas.openxmlformats.org/officeDocument/2006/docPropsVTypes" xmlns="http://schemas.openxmlformats.org/officeDocument/2006/extended-properties">
  <Application>Spire.Doc</Application>
  <AppVersion>12.0000</AppVersion>
</Properties>
</file>

<file path=customXml/item59.xml><?xml version="1.0" encoding="utf-8"?>
<Properties xmlns:vt="http://schemas.openxmlformats.org/officeDocument/2006/docPropsVTypes" xmlns="http://schemas.openxmlformats.org/officeDocument/2006/extended-properties">
  <Application>Spire.Doc</Application>
  <AppVersion>12.0000</AppVersion>
</Properties>
</file>

<file path=customXml/item6.xml><?xml version="1.0" encoding="utf-8"?>
<Properties xmlns:vt="http://schemas.openxmlformats.org/officeDocument/2006/docPropsVTypes" xmlns="http://schemas.openxmlformats.org/officeDocument/2006/extended-properties">
  <Application>Spire.Doc</Application>
  <AppVersion>12.0000</AppVersion>
</Properties>
</file>

<file path=customXml/item6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2023-02-07T09:11:27Z</dcterms:created>
  <dcterms:modified xsi:type="dcterms:W3CDTF">2023-02-07T01:11:27Z</dcterms:modified>
</cp:coreProperties>
</file>

<file path=customXml/item6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2023-02-07T09:11:26Z</dcterms:created>
  <dcterms:modified xsi:type="dcterms:W3CDTF">2023-02-07T01:11:26Z</dcterms:modified>
</cp:coreProperties>
</file>

<file path=customXml/item62.xml><?xml version="1.0" encoding="utf-8"?>
<Properties xmlns:vt="http://schemas.openxmlformats.org/officeDocument/2006/docPropsVTypes" xmlns="http://schemas.openxmlformats.org/officeDocument/2006/extended-properties">
  <Application>Spire.Doc</Application>
  <AppVersion>12.0000</AppVersion>
</Properties>
</file>

<file path=customXml/item63.xml><?xml version="1.0" encoding="utf-8"?>
<Properties xmlns:vt="http://schemas.openxmlformats.org/officeDocument/2006/docPropsVTypes" xmlns="http://schemas.openxmlformats.org/officeDocument/2006/extended-properties">
  <Application>Spire.Doc</Application>
  <AppVersion>12.0000</AppVersion>
</Properties>
</file>

<file path=customXml/item6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2023-02-07T09:11:26Z</dcterms:created>
  <dcterms:modified xsi:type="dcterms:W3CDTF">2023-02-07T01:11:26Z</dcterms:modified>
</cp:coreProperties>
</file>

<file path=customXml/item65.xml><?xml version="1.0" encoding="utf-8"?>
<Properties xmlns:vt="http://schemas.openxmlformats.org/officeDocument/2006/docPropsVTypes" xmlns="http://schemas.openxmlformats.org/officeDocument/2006/extended-properties">
  <Application>Spire.Doc</Application>
  <AppVersion>12.0000</AppVersion>
</Properties>
</file>

<file path=customXml/item66.xml><?xml version="1.0" encoding="utf-8"?>
<Properties xmlns:vt="http://schemas.openxmlformats.org/officeDocument/2006/docPropsVTypes" xmlns="http://schemas.openxmlformats.org/officeDocument/2006/extended-properties">
  <Application>Spire.Doc</Application>
  <AppVersion>12.0000</AppVersion>
</Properties>
</file>

<file path=customXml/item6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2023-02-07T09:11:26Z</dcterms:created>
  <dcterms:modified xsi:type="dcterms:W3CDTF">2023-02-07T01:11:26Z</dcterms:modified>
</cp:coreProperties>
</file>

<file path=customXml/item68.xml><?xml version="1.0" encoding="utf-8"?>
<Properties xmlns:vt="http://schemas.openxmlformats.org/officeDocument/2006/docPropsVTypes" xmlns="http://schemas.openxmlformats.org/officeDocument/2006/extended-properties">
  <Application>Spire.Doc</Application>
  <AppVersion>12.0000</AppVersion>
</Properties>
</file>

<file path=customXml/item69.xml><?xml version="1.0" encoding="utf-8"?>
<Properties xmlns:vt="http://schemas.openxmlformats.org/officeDocument/2006/docPropsVTypes" xmlns="http://schemas.openxmlformats.org/officeDocument/2006/extended-properties">
  <Application>Spire.Doc</Application>
  <AppVersion>12.0000</AppVersion>
</Properties>
</file>

<file path=customXml/item7.xml><?xml version="1.0" encoding="utf-8"?>
<Properties xmlns:vt="http://schemas.openxmlformats.org/officeDocument/2006/docPropsVTypes" xmlns="http://schemas.openxmlformats.org/officeDocument/2006/extended-properties">
  <Application>Spire.Doc</Application>
  <AppVersion>12.0000</AppVersion>
</Properties>
</file>

<file path=customXml/item7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2023-02-07T09:11:33Z</dcterms:created>
  <dcterms:modified xsi:type="dcterms:W3CDTF">2023-02-07T01:11:33Z</dcterms:modified>
</cp:coreProperties>
</file>

<file path=customXml/item7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2023-02-07T09:11:25Z</dcterms:created>
  <dcterms:modified xsi:type="dcterms:W3CDTF">2023-02-07T01:11:25Z</dcterms:modified>
</cp:coreProperties>
</file>

<file path=customXml/item7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2023-02-07T09:11:35Z</dcterms:created>
  <dcterms:modified xsi:type="dcterms:W3CDTF">2023-02-07T01:11:35Z</dcterms:modified>
</cp:coreProperties>
</file>

<file path=customXml/item73.xml><?xml version="1.0" encoding="utf-8"?>
<Properties xmlns:vt="http://schemas.openxmlformats.org/officeDocument/2006/docPropsVTypes" xmlns="http://schemas.openxmlformats.org/officeDocument/2006/extended-properties">
  <Application>Spire.Doc</Application>
  <AppVersion>12.0000</AppVersion>
</Properties>
</file>

<file path=customXml/item7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2023-02-07T09:11:34Z</dcterms:created>
  <dcterms:modified xsi:type="dcterms:W3CDTF">2023-02-07T01:11:34Z</dcterms:modified>
</cp:coreProperties>
</file>

<file path=customXml/item75.xml><?xml version="1.0" encoding="utf-8"?>
<Properties xmlns:vt="http://schemas.openxmlformats.org/officeDocument/2006/docPropsVTypes" xmlns="http://schemas.openxmlformats.org/officeDocument/2006/extended-properties">
  <Application>Spire.Doc</Application>
  <AppVersion>12.0000</AppVersion>
</Properties>
</file>

<file path=customXml/item76.xml><?xml version="1.0" encoding="utf-8"?>
<Properties xmlns:vt="http://schemas.openxmlformats.org/officeDocument/2006/docPropsVTypes" xmlns="http://schemas.openxmlformats.org/officeDocument/2006/extended-properties">
  <Application>Spire.Doc</Application>
  <AppVersion>12.0000</AppVersion>
</Properties>
</file>

<file path=customXml/item77.xml><?xml version="1.0" encoding="utf-8"?>
<Properties xmlns:vt="http://schemas.openxmlformats.org/officeDocument/2006/docPropsVTypes" xmlns="http://schemas.openxmlformats.org/officeDocument/2006/extended-properties">
  <Application>Spire.Doc</Application>
  <AppVersion>12.0000</AppVersion>
</Properties>
</file>

<file path=customXml/item7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2023-02-07T09:11:33Z</dcterms:created>
  <dcterms:modified xsi:type="dcterms:W3CDTF">2023-02-07T01:11:33Z</dcterms:modified>
</cp:coreProperties>
</file>

<file path=customXml/item7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2023-02-07T09:11:27Z</dcterms:created>
  <dcterms:modified xsi:type="dcterms:W3CDTF">2023-02-07T01:11:27Z</dcterms:modified>
</cp:coreProperties>
</file>

<file path=customXml/item8.xml><?xml version="1.0" encoding="utf-8"?>
<Properties xmlns:vt="http://schemas.openxmlformats.org/officeDocument/2006/docPropsVTypes" xmlns="http://schemas.openxmlformats.org/officeDocument/2006/extended-properties">
  <Application>Spire.Doc</Application>
  <AppVersion>12.0000</AppVersion>
</Properties>
</file>

<file path=customXml/item80.xml><?xml version="1.0" encoding="utf-8"?>
<Properties xmlns:vt="http://schemas.openxmlformats.org/officeDocument/2006/docPropsVTypes" xmlns="http://schemas.openxmlformats.org/officeDocument/2006/extended-properties">
  <Application>Spire.Doc</Application>
  <AppVersion>12.0000</AppVersion>
</Properties>
</file>

<file path=customXml/item8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2023-02-07T09:11:26Z</dcterms:created>
  <dcterms:modified xsi:type="dcterms:W3CDTF">2023-02-07T01:11:26Z</dcterms:modified>
</cp:coreProperties>
</file>

<file path=customXml/item82.xml><?xml version="1.0" encoding="utf-8"?>
<Properties xmlns:vt="http://schemas.openxmlformats.org/officeDocument/2006/docPropsVTypes" xmlns="http://schemas.openxmlformats.org/officeDocument/2006/extended-properties">
  <Application>Spire.Doc</Application>
  <AppVersion>12.0000</AppVersion>
</Properties>
</file>

<file path=customXml/item83.xml><?xml version="1.0" encoding="utf-8"?>
<Properties xmlns:vt="http://schemas.openxmlformats.org/officeDocument/2006/docPropsVTypes" xmlns="http://schemas.openxmlformats.org/officeDocument/2006/extended-properties">
  <Application>Spire.Doc</Application>
  <AppVersion>12.0000</AppVersion>
</Properties>
</file>

<file path=customXml/item8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2023-02-07T09:11:26Z</dcterms:created>
  <dcterms:modified xsi:type="dcterms:W3CDTF">2023-02-07T01:11:26Z</dcterms:modified>
</cp:coreProperties>
</file>

<file path=customXml/item8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2023-02-07T09:11:25Z</dcterms:created>
  <dcterms:modified xsi:type="dcterms:W3CDTF">2023-02-07T01:11:25Z</dcterms:modified>
</cp:coreProperties>
</file>

<file path=customXml/item8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2023-02-07T09:11:26Z</dcterms:created>
  <dcterms:modified xsi:type="dcterms:W3CDTF">2023-02-07T01:11:26Z</dcterms:modified>
</cp:coreProperties>
</file>

<file path=customXml/item87.xml><?xml version="1.0" encoding="utf-8"?>
<Properties xmlns:vt="http://schemas.openxmlformats.org/officeDocument/2006/docPropsVTypes" xmlns="http://schemas.openxmlformats.org/officeDocument/2006/extended-properties">
  <Application>Spire.Doc</Application>
  <AppVersion>12.0000</AppVersion>
</Properties>
</file>

<file path=customXml/item88.xml><?xml version="1.0" encoding="utf-8"?>
<Properties xmlns:vt="http://schemas.openxmlformats.org/officeDocument/2006/docPropsVTypes" xmlns="http://schemas.openxmlformats.org/officeDocument/2006/extended-properties">
  <Application>Spire.Doc</Application>
  <AppVersion>12.0000</AppVersion>
</Properties>
</file>

<file path=customXml/item89.xml><?xml version="1.0" encoding="utf-8"?>
<Properties xmlns:vt="http://schemas.openxmlformats.org/officeDocument/2006/docPropsVTypes" xmlns="http://schemas.openxmlformats.org/officeDocument/2006/extended-properties">
  <Application>Spire.Doc</Application>
  <AppVersion>12.0000</AppVersion>
</Properties>
</file>

<file path=customXml/item9.xml><?xml version="1.0" encoding="utf-8"?>
<Properties xmlns:vt="http://schemas.openxmlformats.org/officeDocument/2006/docPropsVTypes" xmlns="http://schemas.openxmlformats.org/officeDocument/2006/extended-properties">
  <Application>Spire.Doc</Application>
  <AppVersion>12.0000</AppVersion>
</Properties>
</file>

<file path=customXml/item9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2023-02-07T09:11:34Z</dcterms:created>
  <dcterms:modified xsi:type="dcterms:W3CDTF">2023-02-07T01:11:34Z</dcterms:modified>
</cp:coreProperties>
</file>

<file path=customXml/item9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2023-02-07T09:11:27Z</dcterms:created>
  <dcterms:modified xsi:type="dcterms:W3CDTF">2023-02-07T01:11:27Z</dcterms:modified>
</cp:coreProperties>
</file>

<file path=customXml/item9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2023-02-07T09:11:35Z</dcterms:created>
  <dcterms:modified xsi:type="dcterms:W3CDTF">2023-02-07T01:11:35Z</dcterms:modified>
</cp:coreProperties>
</file>

<file path=customXml/item93.xml><?xml version="1.0" encoding="utf-8"?>
<Properties xmlns:vt="http://schemas.openxmlformats.org/officeDocument/2006/docPropsVTypes" xmlns="http://schemas.openxmlformats.org/officeDocument/2006/extended-properties">
  <Application>Spire.Doc</Application>
  <AppVersion>12.0000</AppVersion>
</Properties>
</file>

<file path=customXml/item94.xml><?xml version="1.0" encoding="utf-8"?>
<Properties xmlns:vt="http://schemas.openxmlformats.org/officeDocument/2006/docPropsVTypes" xmlns="http://schemas.openxmlformats.org/officeDocument/2006/extended-properties">
  <Application>Spire.Doc</Application>
  <AppVersion>12.0000</AppVersion>
</Properties>
</file>

<file path=customXml/item9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2023-02-07T09:11:25Z</dcterms:created>
  <dcterms:modified xsi:type="dcterms:W3CDTF">2023-02-07T01:11:25Z</dcterms:modified>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417343DC-C316-472E-A1DE-C8FE67674D64}">
  <ds:schemaRefs/>
</ds:datastoreItem>
</file>

<file path=customXml/itemProps11.xml><?xml version="1.0" encoding="utf-8"?>
<ds:datastoreItem xmlns:ds="http://schemas.openxmlformats.org/officeDocument/2006/customXml" ds:itemID="{FD710059-7373-4FE8-8350-2293B7C69A50}">
  <ds:schemaRefs/>
</ds:datastoreItem>
</file>

<file path=customXml/itemProps12.xml><?xml version="1.0" encoding="utf-8"?>
<ds:datastoreItem xmlns:ds="http://schemas.openxmlformats.org/officeDocument/2006/customXml" ds:itemID="{66DA1B7C-C8A3-4775-87C2-63691FD579BD}">
  <ds:schemaRefs/>
</ds:datastoreItem>
</file>

<file path=customXml/itemProps13.xml><?xml version="1.0" encoding="utf-8"?>
<ds:datastoreItem xmlns:ds="http://schemas.openxmlformats.org/officeDocument/2006/customXml" ds:itemID="{CEFCD707-9451-47C5-BE0B-CAFCE6375A7C}">
  <ds:schemaRefs/>
</ds:datastoreItem>
</file>

<file path=customXml/itemProps14.xml><?xml version="1.0" encoding="utf-8"?>
<ds:datastoreItem xmlns:ds="http://schemas.openxmlformats.org/officeDocument/2006/customXml" ds:itemID="{0FFC66F3-2D6E-4E68-90E3-A090D4D33CBE}">
  <ds:schemaRefs/>
</ds:datastoreItem>
</file>

<file path=customXml/itemProps15.xml><?xml version="1.0" encoding="utf-8"?>
<ds:datastoreItem xmlns:ds="http://schemas.openxmlformats.org/officeDocument/2006/customXml" ds:itemID="{4BBB0E8E-1600-4DAB-8232-33F9C4727F90}">
  <ds:schemaRefs/>
</ds:datastoreItem>
</file>

<file path=customXml/itemProps16.xml><?xml version="1.0" encoding="utf-8"?>
<ds:datastoreItem xmlns:ds="http://schemas.openxmlformats.org/officeDocument/2006/customXml" ds:itemID="{2FD3F2AF-86DB-4B2F-83FD-5AE19636BFAB}">
  <ds:schemaRefs/>
</ds:datastoreItem>
</file>

<file path=customXml/itemProps17.xml><?xml version="1.0" encoding="utf-8"?>
<ds:datastoreItem xmlns:ds="http://schemas.openxmlformats.org/officeDocument/2006/customXml" ds:itemID="{F7D77B63-CC27-4DB4-BCDD-DDE4A8AF397F}">
  <ds:schemaRefs/>
</ds:datastoreItem>
</file>

<file path=customXml/itemProps18.xml><?xml version="1.0" encoding="utf-8"?>
<ds:datastoreItem xmlns:ds="http://schemas.openxmlformats.org/officeDocument/2006/customXml" ds:itemID="{7BC7F9F9-B21A-496B-97AF-D03A7F3E0B0F}">
  <ds:schemaRefs/>
</ds:datastoreItem>
</file>

<file path=customXml/itemProps19.xml><?xml version="1.0" encoding="utf-8"?>
<ds:datastoreItem xmlns:ds="http://schemas.openxmlformats.org/officeDocument/2006/customXml" ds:itemID="{C74B43AF-C739-4BC7-94E7-F03D7B3C85A0}">
  <ds:schemaRefs/>
</ds:datastoreItem>
</file>

<file path=customXml/itemProps2.xml><?xml version="1.0" encoding="utf-8"?>
<ds:datastoreItem xmlns:ds="http://schemas.openxmlformats.org/officeDocument/2006/customXml" ds:itemID="{80C05C52-9156-46EF-99E6-AF4A4ED43D84}">
  <ds:schemaRefs/>
</ds:datastoreItem>
</file>

<file path=customXml/itemProps20.xml><?xml version="1.0" encoding="utf-8"?>
<ds:datastoreItem xmlns:ds="http://schemas.openxmlformats.org/officeDocument/2006/customXml" ds:itemID="{7B8F796E-4C53-475F-8619-DBF5453186DB}">
  <ds:schemaRefs/>
</ds:datastoreItem>
</file>

<file path=customXml/itemProps21.xml><?xml version="1.0" encoding="utf-8"?>
<ds:datastoreItem xmlns:ds="http://schemas.openxmlformats.org/officeDocument/2006/customXml" ds:itemID="{98665077-6A71-4CC5-A339-59AD84266957}">
  <ds:schemaRefs/>
</ds:datastoreItem>
</file>

<file path=customXml/itemProps22.xml><?xml version="1.0" encoding="utf-8"?>
<ds:datastoreItem xmlns:ds="http://schemas.openxmlformats.org/officeDocument/2006/customXml" ds:itemID="{EDD2AC0D-121B-4CBF-A180-DAD7B3A18793}">
  <ds:schemaRefs/>
</ds:datastoreItem>
</file>

<file path=customXml/itemProps23.xml><?xml version="1.0" encoding="utf-8"?>
<ds:datastoreItem xmlns:ds="http://schemas.openxmlformats.org/officeDocument/2006/customXml" ds:itemID="{39507151-E06F-41BD-A746-300C2FD334EE}">
  <ds:schemaRefs/>
</ds:datastoreItem>
</file>

<file path=customXml/itemProps24.xml><?xml version="1.0" encoding="utf-8"?>
<ds:datastoreItem xmlns:ds="http://schemas.openxmlformats.org/officeDocument/2006/customXml" ds:itemID="{F68FFB08-5010-4B62-8198-A93D4A865C7E}">
  <ds:schemaRefs/>
</ds:datastoreItem>
</file>

<file path=customXml/itemProps25.xml><?xml version="1.0" encoding="utf-8"?>
<ds:datastoreItem xmlns:ds="http://schemas.openxmlformats.org/officeDocument/2006/customXml" ds:itemID="{2F436B4C-3EF8-4EFB-B5C4-67D9316A6828}">
  <ds:schemaRefs/>
</ds:datastoreItem>
</file>

<file path=customXml/itemProps26.xml><?xml version="1.0" encoding="utf-8"?>
<ds:datastoreItem xmlns:ds="http://schemas.openxmlformats.org/officeDocument/2006/customXml" ds:itemID="{15ED0F8D-32CD-4854-8FDB-6EB0693EAC2E}">
  <ds:schemaRefs/>
</ds:datastoreItem>
</file>

<file path=customXml/itemProps27.xml><?xml version="1.0" encoding="utf-8"?>
<ds:datastoreItem xmlns:ds="http://schemas.openxmlformats.org/officeDocument/2006/customXml" ds:itemID="{25794D92-AFE7-494B-A369-41189F19F8DB}">
  <ds:schemaRefs/>
</ds:datastoreItem>
</file>

<file path=customXml/itemProps28.xml><?xml version="1.0" encoding="utf-8"?>
<ds:datastoreItem xmlns:ds="http://schemas.openxmlformats.org/officeDocument/2006/customXml" ds:itemID="{02A8F78D-4ABE-4993-BBE2-AE349C49240C}">
  <ds:schemaRefs/>
</ds:datastoreItem>
</file>

<file path=customXml/itemProps29.xml><?xml version="1.0" encoding="utf-8"?>
<ds:datastoreItem xmlns:ds="http://schemas.openxmlformats.org/officeDocument/2006/customXml" ds:itemID="{08584149-7FA2-46CE-85F4-E52AC6B4E736}">
  <ds:schemaRefs/>
</ds:datastoreItem>
</file>

<file path=customXml/itemProps3.xml><?xml version="1.0" encoding="utf-8"?>
<ds:datastoreItem xmlns:ds="http://schemas.openxmlformats.org/officeDocument/2006/customXml" ds:itemID="{A408CEEA-5076-40DA-AD92-8A22272AE445}">
  <ds:schemaRefs/>
</ds:datastoreItem>
</file>

<file path=customXml/itemProps30.xml><?xml version="1.0" encoding="utf-8"?>
<ds:datastoreItem xmlns:ds="http://schemas.openxmlformats.org/officeDocument/2006/customXml" ds:itemID="{F2157BF4-880E-4894-BEB4-C850DC21E4CA}">
  <ds:schemaRefs/>
</ds:datastoreItem>
</file>

<file path=customXml/itemProps31.xml><?xml version="1.0" encoding="utf-8"?>
<ds:datastoreItem xmlns:ds="http://schemas.openxmlformats.org/officeDocument/2006/customXml" ds:itemID="{474DDE24-2B7A-41A9-8F1C-6510B4B27A8E}">
  <ds:schemaRefs/>
</ds:datastoreItem>
</file>

<file path=customXml/itemProps32.xml><?xml version="1.0" encoding="utf-8"?>
<ds:datastoreItem xmlns:ds="http://schemas.openxmlformats.org/officeDocument/2006/customXml" ds:itemID="{5259D4D0-5395-47A4-A294-5DF2F257278F}">
  <ds:schemaRefs/>
</ds:datastoreItem>
</file>

<file path=customXml/itemProps33.xml><?xml version="1.0" encoding="utf-8"?>
<ds:datastoreItem xmlns:ds="http://schemas.openxmlformats.org/officeDocument/2006/customXml" ds:itemID="{CBCFE502-595F-4CFD-B065-6DF0901D1808}">
  <ds:schemaRefs/>
</ds:datastoreItem>
</file>

<file path=customXml/itemProps34.xml><?xml version="1.0" encoding="utf-8"?>
<ds:datastoreItem xmlns:ds="http://schemas.openxmlformats.org/officeDocument/2006/customXml" ds:itemID="{CD0FD792-2146-4E0C-926B-E74CB1DFC0AA}">
  <ds:schemaRefs/>
</ds:datastoreItem>
</file>

<file path=customXml/itemProps35.xml><?xml version="1.0" encoding="utf-8"?>
<ds:datastoreItem xmlns:ds="http://schemas.openxmlformats.org/officeDocument/2006/customXml" ds:itemID="{2272E873-3B32-4E96-9FCF-5F87EA10F8B9}">
  <ds:schemaRefs/>
</ds:datastoreItem>
</file>

<file path=customXml/itemProps36.xml><?xml version="1.0" encoding="utf-8"?>
<ds:datastoreItem xmlns:ds="http://schemas.openxmlformats.org/officeDocument/2006/customXml" ds:itemID="{7F7A74F7-8F75-4AAA-B6F1-916F61A1F6BE}">
  <ds:schemaRefs/>
</ds:datastoreItem>
</file>

<file path=customXml/itemProps37.xml><?xml version="1.0" encoding="utf-8"?>
<ds:datastoreItem xmlns:ds="http://schemas.openxmlformats.org/officeDocument/2006/customXml" ds:itemID="{9E829407-FC65-4E09-81FB-8F2A3921C19E}">
  <ds:schemaRefs/>
</ds:datastoreItem>
</file>

<file path=customXml/itemProps38.xml><?xml version="1.0" encoding="utf-8"?>
<ds:datastoreItem xmlns:ds="http://schemas.openxmlformats.org/officeDocument/2006/customXml" ds:itemID="{A1C8F223-1C1A-4F76-B9DC-3DF5FDE66748}">
  <ds:schemaRefs/>
</ds:datastoreItem>
</file>

<file path=customXml/itemProps39.xml><?xml version="1.0" encoding="utf-8"?>
<ds:datastoreItem xmlns:ds="http://schemas.openxmlformats.org/officeDocument/2006/customXml" ds:itemID="{58D5815E-F0AE-46A7-A188-03B368333DF8}">
  <ds:schemaRefs/>
</ds:datastoreItem>
</file>

<file path=customXml/itemProps4.xml><?xml version="1.0" encoding="utf-8"?>
<ds:datastoreItem xmlns:ds="http://schemas.openxmlformats.org/officeDocument/2006/customXml" ds:itemID="{76B1A9C5-4F93-42DB-B05D-4CC2ECB7A0CB}">
  <ds:schemaRefs/>
</ds:datastoreItem>
</file>

<file path=customXml/itemProps40.xml><?xml version="1.0" encoding="utf-8"?>
<ds:datastoreItem xmlns:ds="http://schemas.openxmlformats.org/officeDocument/2006/customXml" ds:itemID="{963AB162-0ECB-498A-8539-DA9EC3F12AE8}">
  <ds:schemaRefs/>
</ds:datastoreItem>
</file>

<file path=customXml/itemProps41.xml><?xml version="1.0" encoding="utf-8"?>
<ds:datastoreItem xmlns:ds="http://schemas.openxmlformats.org/officeDocument/2006/customXml" ds:itemID="{0B37720E-7752-4966-B77F-E8245B8D4E99}">
  <ds:schemaRefs/>
</ds:datastoreItem>
</file>

<file path=customXml/itemProps42.xml><?xml version="1.0" encoding="utf-8"?>
<ds:datastoreItem xmlns:ds="http://schemas.openxmlformats.org/officeDocument/2006/customXml" ds:itemID="{B8821733-89F9-4CF4-8049-355A124FE65D}">
  <ds:schemaRefs/>
</ds:datastoreItem>
</file>

<file path=customXml/itemProps43.xml><?xml version="1.0" encoding="utf-8"?>
<ds:datastoreItem xmlns:ds="http://schemas.openxmlformats.org/officeDocument/2006/customXml" ds:itemID="{EC5E7D3A-2169-4DEB-84C0-5F3AF41A5641}">
  <ds:schemaRefs/>
</ds:datastoreItem>
</file>

<file path=customXml/itemProps44.xml><?xml version="1.0" encoding="utf-8"?>
<ds:datastoreItem xmlns:ds="http://schemas.openxmlformats.org/officeDocument/2006/customXml" ds:itemID="{F7FEA25B-70F0-4539-83B6-54BCF9DED2E8}">
  <ds:schemaRefs/>
</ds:datastoreItem>
</file>

<file path=customXml/itemProps45.xml><?xml version="1.0" encoding="utf-8"?>
<ds:datastoreItem xmlns:ds="http://schemas.openxmlformats.org/officeDocument/2006/customXml" ds:itemID="{0D8C4F41-386E-42B4-95F3-7FDCEA40D21A}">
  <ds:schemaRefs/>
</ds:datastoreItem>
</file>

<file path=customXml/itemProps46.xml><?xml version="1.0" encoding="utf-8"?>
<ds:datastoreItem xmlns:ds="http://schemas.openxmlformats.org/officeDocument/2006/customXml" ds:itemID="{DAC13783-0031-4049-B7D2-73B41EEEC5E9}">
  <ds:schemaRefs/>
</ds:datastoreItem>
</file>

<file path=customXml/itemProps47.xml><?xml version="1.0" encoding="utf-8"?>
<ds:datastoreItem xmlns:ds="http://schemas.openxmlformats.org/officeDocument/2006/customXml" ds:itemID="{B6B24D02-01B7-47CA-8AE8-4D687F3ED18D}">
  <ds:schemaRefs/>
</ds:datastoreItem>
</file>

<file path=customXml/itemProps48.xml><?xml version="1.0" encoding="utf-8"?>
<ds:datastoreItem xmlns:ds="http://schemas.openxmlformats.org/officeDocument/2006/customXml" ds:itemID="{C725660E-72CB-4AD5-A3F5-C19F669FDE52}">
  <ds:schemaRefs/>
</ds:datastoreItem>
</file>

<file path=customXml/itemProps49.xml><?xml version="1.0" encoding="utf-8"?>
<ds:datastoreItem xmlns:ds="http://schemas.openxmlformats.org/officeDocument/2006/customXml" ds:itemID="{5CABFEDE-3524-4430-8D03-069B245DCE21}">
  <ds:schemaRefs/>
</ds:datastoreItem>
</file>

<file path=customXml/itemProps5.xml><?xml version="1.0" encoding="utf-8"?>
<ds:datastoreItem xmlns:ds="http://schemas.openxmlformats.org/officeDocument/2006/customXml" ds:itemID="{AB06BCA0-E031-4273-BFDA-8425D88D8F0C}">
  <ds:schemaRefs/>
</ds:datastoreItem>
</file>

<file path=customXml/itemProps50.xml><?xml version="1.0" encoding="utf-8"?>
<ds:datastoreItem xmlns:ds="http://schemas.openxmlformats.org/officeDocument/2006/customXml" ds:itemID="{598ECDE5-19F3-4839-A6FE-F8452B3BD219}">
  <ds:schemaRefs/>
</ds:datastoreItem>
</file>

<file path=customXml/itemProps51.xml><?xml version="1.0" encoding="utf-8"?>
<ds:datastoreItem xmlns:ds="http://schemas.openxmlformats.org/officeDocument/2006/customXml" ds:itemID="{1D1BC299-89F0-4B3D-BA4B-6A42FFA5B55C}">
  <ds:schemaRefs/>
</ds:datastoreItem>
</file>

<file path=customXml/itemProps52.xml><?xml version="1.0" encoding="utf-8"?>
<ds:datastoreItem xmlns:ds="http://schemas.openxmlformats.org/officeDocument/2006/customXml" ds:itemID="{5EABE858-5B2F-420E-9679-CCA4556AEC02}">
  <ds:schemaRefs/>
</ds:datastoreItem>
</file>

<file path=customXml/itemProps53.xml><?xml version="1.0" encoding="utf-8"?>
<ds:datastoreItem xmlns:ds="http://schemas.openxmlformats.org/officeDocument/2006/customXml" ds:itemID="{D25909C7-AE3B-4666-9661-F95D5D0693E7}">
  <ds:schemaRefs/>
</ds:datastoreItem>
</file>

<file path=customXml/itemProps54.xml><?xml version="1.0" encoding="utf-8"?>
<ds:datastoreItem xmlns:ds="http://schemas.openxmlformats.org/officeDocument/2006/customXml" ds:itemID="{DA9D7657-9451-4DB2-A053-032E1E21310A}">
  <ds:schemaRefs/>
</ds:datastoreItem>
</file>

<file path=customXml/itemProps55.xml><?xml version="1.0" encoding="utf-8"?>
<ds:datastoreItem xmlns:ds="http://schemas.openxmlformats.org/officeDocument/2006/customXml" ds:itemID="{03157E70-886C-4A5B-995A-717E00D8530D}">
  <ds:schemaRefs/>
</ds:datastoreItem>
</file>

<file path=customXml/itemProps56.xml><?xml version="1.0" encoding="utf-8"?>
<ds:datastoreItem xmlns:ds="http://schemas.openxmlformats.org/officeDocument/2006/customXml" ds:itemID="{21344574-421D-4407-B4FD-252D0B55F417}">
  <ds:schemaRefs/>
</ds:datastoreItem>
</file>

<file path=customXml/itemProps57.xml><?xml version="1.0" encoding="utf-8"?>
<ds:datastoreItem xmlns:ds="http://schemas.openxmlformats.org/officeDocument/2006/customXml" ds:itemID="{6397889A-BD11-42C3-8F93-9C76E0B22B17}">
  <ds:schemaRefs/>
</ds:datastoreItem>
</file>

<file path=customXml/itemProps58.xml><?xml version="1.0" encoding="utf-8"?>
<ds:datastoreItem xmlns:ds="http://schemas.openxmlformats.org/officeDocument/2006/customXml" ds:itemID="{B7035603-AA6E-4A9B-A996-962062F96085}">
  <ds:schemaRefs/>
</ds:datastoreItem>
</file>

<file path=customXml/itemProps59.xml><?xml version="1.0" encoding="utf-8"?>
<ds:datastoreItem xmlns:ds="http://schemas.openxmlformats.org/officeDocument/2006/customXml" ds:itemID="{6934EE42-AF90-4C97-902E-62DB9039DAE7}">
  <ds:schemaRefs/>
</ds:datastoreItem>
</file>

<file path=customXml/itemProps6.xml><?xml version="1.0" encoding="utf-8"?>
<ds:datastoreItem xmlns:ds="http://schemas.openxmlformats.org/officeDocument/2006/customXml" ds:itemID="{0707EA3E-8FA0-470F-AE10-59C15CCB3F81}">
  <ds:schemaRefs/>
</ds:datastoreItem>
</file>

<file path=customXml/itemProps60.xml><?xml version="1.0" encoding="utf-8"?>
<ds:datastoreItem xmlns:ds="http://schemas.openxmlformats.org/officeDocument/2006/customXml" ds:itemID="{BB2F5704-50DB-41AC-B88C-FB72889D3ACC}">
  <ds:schemaRefs/>
</ds:datastoreItem>
</file>

<file path=customXml/itemProps61.xml><?xml version="1.0" encoding="utf-8"?>
<ds:datastoreItem xmlns:ds="http://schemas.openxmlformats.org/officeDocument/2006/customXml" ds:itemID="{8700CFF2-25B6-4479-B067-30C64257F08E}">
  <ds:schemaRefs/>
</ds:datastoreItem>
</file>

<file path=customXml/itemProps62.xml><?xml version="1.0" encoding="utf-8"?>
<ds:datastoreItem xmlns:ds="http://schemas.openxmlformats.org/officeDocument/2006/customXml" ds:itemID="{7E09422C-4892-44FF-92BA-7DDD470A8229}">
  <ds:schemaRefs/>
</ds:datastoreItem>
</file>

<file path=customXml/itemProps63.xml><?xml version="1.0" encoding="utf-8"?>
<ds:datastoreItem xmlns:ds="http://schemas.openxmlformats.org/officeDocument/2006/customXml" ds:itemID="{84809835-DFCC-4AA4-9AC4-CDA02C8851AC}">
  <ds:schemaRefs/>
</ds:datastoreItem>
</file>

<file path=customXml/itemProps64.xml><?xml version="1.0" encoding="utf-8"?>
<ds:datastoreItem xmlns:ds="http://schemas.openxmlformats.org/officeDocument/2006/customXml" ds:itemID="{A4683A60-142E-4DE2-B481-C8608942AF8B}">
  <ds:schemaRefs/>
</ds:datastoreItem>
</file>

<file path=customXml/itemProps65.xml><?xml version="1.0" encoding="utf-8"?>
<ds:datastoreItem xmlns:ds="http://schemas.openxmlformats.org/officeDocument/2006/customXml" ds:itemID="{FDB3CA17-C3DF-4B1F-97BF-226FDEFD092D}">
  <ds:schemaRefs/>
</ds:datastoreItem>
</file>

<file path=customXml/itemProps66.xml><?xml version="1.0" encoding="utf-8"?>
<ds:datastoreItem xmlns:ds="http://schemas.openxmlformats.org/officeDocument/2006/customXml" ds:itemID="{A8814391-D99B-4229-B0C4-C50F0B1B7022}">
  <ds:schemaRefs/>
</ds:datastoreItem>
</file>

<file path=customXml/itemProps67.xml><?xml version="1.0" encoding="utf-8"?>
<ds:datastoreItem xmlns:ds="http://schemas.openxmlformats.org/officeDocument/2006/customXml" ds:itemID="{F26450F6-0FB5-4EFC-B239-54C572A35F52}">
  <ds:schemaRefs/>
</ds:datastoreItem>
</file>

<file path=customXml/itemProps68.xml><?xml version="1.0" encoding="utf-8"?>
<ds:datastoreItem xmlns:ds="http://schemas.openxmlformats.org/officeDocument/2006/customXml" ds:itemID="{04347884-90D9-442D-A03B-A306BD426B95}">
  <ds:schemaRefs/>
</ds:datastoreItem>
</file>

<file path=customXml/itemProps69.xml><?xml version="1.0" encoding="utf-8"?>
<ds:datastoreItem xmlns:ds="http://schemas.openxmlformats.org/officeDocument/2006/customXml" ds:itemID="{F6C496EA-5C59-4D1B-89D6-5A43F04F49CA}">
  <ds:schemaRefs/>
</ds:datastoreItem>
</file>

<file path=customXml/itemProps7.xml><?xml version="1.0" encoding="utf-8"?>
<ds:datastoreItem xmlns:ds="http://schemas.openxmlformats.org/officeDocument/2006/customXml" ds:itemID="{3E29EF1C-CB0F-4CA7-8CE5-1EB34F4D728D}">
  <ds:schemaRefs/>
</ds:datastoreItem>
</file>

<file path=customXml/itemProps70.xml><?xml version="1.0" encoding="utf-8"?>
<ds:datastoreItem xmlns:ds="http://schemas.openxmlformats.org/officeDocument/2006/customXml" ds:itemID="{97FDF707-9C80-4BD2-80F8-976E0039CD12}">
  <ds:schemaRefs/>
</ds:datastoreItem>
</file>

<file path=customXml/itemProps71.xml><?xml version="1.0" encoding="utf-8"?>
<ds:datastoreItem xmlns:ds="http://schemas.openxmlformats.org/officeDocument/2006/customXml" ds:itemID="{3300B11D-454E-4553-977E-9EB49407F669}">
  <ds:schemaRefs/>
</ds:datastoreItem>
</file>

<file path=customXml/itemProps72.xml><?xml version="1.0" encoding="utf-8"?>
<ds:datastoreItem xmlns:ds="http://schemas.openxmlformats.org/officeDocument/2006/customXml" ds:itemID="{CE1569CA-D1AC-4AFE-8014-74B394E99429}">
  <ds:schemaRefs/>
</ds:datastoreItem>
</file>

<file path=customXml/itemProps73.xml><?xml version="1.0" encoding="utf-8"?>
<ds:datastoreItem xmlns:ds="http://schemas.openxmlformats.org/officeDocument/2006/customXml" ds:itemID="{BD84D624-00FC-4EEA-A7BF-5A6DEC4AB67A}">
  <ds:schemaRefs/>
</ds:datastoreItem>
</file>

<file path=customXml/itemProps74.xml><?xml version="1.0" encoding="utf-8"?>
<ds:datastoreItem xmlns:ds="http://schemas.openxmlformats.org/officeDocument/2006/customXml" ds:itemID="{B2F45E24-76FB-4900-8298-734DDB051188}">
  <ds:schemaRefs/>
</ds:datastoreItem>
</file>

<file path=customXml/itemProps75.xml><?xml version="1.0" encoding="utf-8"?>
<ds:datastoreItem xmlns:ds="http://schemas.openxmlformats.org/officeDocument/2006/customXml" ds:itemID="{2A421646-7E50-4A49-9066-F276DD7BFA4F}">
  <ds:schemaRefs/>
</ds:datastoreItem>
</file>

<file path=customXml/itemProps76.xml><?xml version="1.0" encoding="utf-8"?>
<ds:datastoreItem xmlns:ds="http://schemas.openxmlformats.org/officeDocument/2006/customXml" ds:itemID="{9EFC32AB-B4B0-4E73-AF5C-5EFFBFFA07E2}">
  <ds:schemaRefs/>
</ds:datastoreItem>
</file>

<file path=customXml/itemProps77.xml><?xml version="1.0" encoding="utf-8"?>
<ds:datastoreItem xmlns:ds="http://schemas.openxmlformats.org/officeDocument/2006/customXml" ds:itemID="{FA98263C-5FC6-4995-98EB-8F8A1758BF52}">
  <ds:schemaRefs/>
</ds:datastoreItem>
</file>

<file path=customXml/itemProps78.xml><?xml version="1.0" encoding="utf-8"?>
<ds:datastoreItem xmlns:ds="http://schemas.openxmlformats.org/officeDocument/2006/customXml" ds:itemID="{35F944D7-37E9-46AE-BE68-9B3E4A1768A7}">
  <ds:schemaRefs/>
</ds:datastoreItem>
</file>

<file path=customXml/itemProps79.xml><?xml version="1.0" encoding="utf-8"?>
<ds:datastoreItem xmlns:ds="http://schemas.openxmlformats.org/officeDocument/2006/customXml" ds:itemID="{2E7643B5-B3D2-4F81-B11D-7A998745AF8B}">
  <ds:schemaRefs/>
</ds:datastoreItem>
</file>

<file path=customXml/itemProps8.xml><?xml version="1.0" encoding="utf-8"?>
<ds:datastoreItem xmlns:ds="http://schemas.openxmlformats.org/officeDocument/2006/customXml" ds:itemID="{A6F1A60C-3A18-497A-8416-13A9C00EC22D}">
  <ds:schemaRefs/>
</ds:datastoreItem>
</file>

<file path=customXml/itemProps80.xml><?xml version="1.0" encoding="utf-8"?>
<ds:datastoreItem xmlns:ds="http://schemas.openxmlformats.org/officeDocument/2006/customXml" ds:itemID="{4EA6741D-6F85-4445-B2E5-8953CFC87FC5}">
  <ds:schemaRefs/>
</ds:datastoreItem>
</file>

<file path=customXml/itemProps81.xml><?xml version="1.0" encoding="utf-8"?>
<ds:datastoreItem xmlns:ds="http://schemas.openxmlformats.org/officeDocument/2006/customXml" ds:itemID="{57E72269-5345-4E59-93DF-7961FCA01BC4}">
  <ds:schemaRefs/>
</ds:datastoreItem>
</file>

<file path=customXml/itemProps82.xml><?xml version="1.0" encoding="utf-8"?>
<ds:datastoreItem xmlns:ds="http://schemas.openxmlformats.org/officeDocument/2006/customXml" ds:itemID="{7EF66F6A-100B-4998-8F88-FA556330CD6F}">
  <ds:schemaRefs/>
</ds:datastoreItem>
</file>

<file path=customXml/itemProps83.xml><?xml version="1.0" encoding="utf-8"?>
<ds:datastoreItem xmlns:ds="http://schemas.openxmlformats.org/officeDocument/2006/customXml" ds:itemID="{A187800C-5CBC-4F52-BE76-0593EEB8A217}">
  <ds:schemaRefs/>
</ds:datastoreItem>
</file>

<file path=customXml/itemProps84.xml><?xml version="1.0" encoding="utf-8"?>
<ds:datastoreItem xmlns:ds="http://schemas.openxmlformats.org/officeDocument/2006/customXml" ds:itemID="{2C2A4E27-F062-4A81-80D3-56F9C0D820BE}">
  <ds:schemaRefs/>
</ds:datastoreItem>
</file>

<file path=customXml/itemProps85.xml><?xml version="1.0" encoding="utf-8"?>
<ds:datastoreItem xmlns:ds="http://schemas.openxmlformats.org/officeDocument/2006/customXml" ds:itemID="{C1F45509-7D9D-4502-8039-5793730C6FA3}">
  <ds:schemaRefs/>
</ds:datastoreItem>
</file>

<file path=customXml/itemProps86.xml><?xml version="1.0" encoding="utf-8"?>
<ds:datastoreItem xmlns:ds="http://schemas.openxmlformats.org/officeDocument/2006/customXml" ds:itemID="{EBEBBCBA-CD4B-47B2-BA56-10A569C6C36C}">
  <ds:schemaRefs/>
</ds:datastoreItem>
</file>

<file path=customXml/itemProps87.xml><?xml version="1.0" encoding="utf-8"?>
<ds:datastoreItem xmlns:ds="http://schemas.openxmlformats.org/officeDocument/2006/customXml" ds:itemID="{4776725D-3186-41F7-8E18-4B1B40C7D221}">
  <ds:schemaRefs/>
</ds:datastoreItem>
</file>

<file path=customXml/itemProps88.xml><?xml version="1.0" encoding="utf-8"?>
<ds:datastoreItem xmlns:ds="http://schemas.openxmlformats.org/officeDocument/2006/customXml" ds:itemID="{686608A9-34E6-4B15-9462-138BE60B4822}">
  <ds:schemaRefs/>
</ds:datastoreItem>
</file>

<file path=customXml/itemProps89.xml><?xml version="1.0" encoding="utf-8"?>
<ds:datastoreItem xmlns:ds="http://schemas.openxmlformats.org/officeDocument/2006/customXml" ds:itemID="{3E575ABE-D47E-4D3A-BF72-73F4FA761E90}">
  <ds:schemaRefs/>
</ds:datastoreItem>
</file>

<file path=customXml/itemProps9.xml><?xml version="1.0" encoding="utf-8"?>
<ds:datastoreItem xmlns:ds="http://schemas.openxmlformats.org/officeDocument/2006/customXml" ds:itemID="{1789C05E-9C6F-4E36-B4A3-238741A5F26B}">
  <ds:schemaRefs/>
</ds:datastoreItem>
</file>

<file path=customXml/itemProps90.xml><?xml version="1.0" encoding="utf-8"?>
<ds:datastoreItem xmlns:ds="http://schemas.openxmlformats.org/officeDocument/2006/customXml" ds:itemID="{F6074FA3-8262-4F09-A3D0-35E66221C2F5}">
  <ds:schemaRefs/>
</ds:datastoreItem>
</file>

<file path=customXml/itemProps91.xml><?xml version="1.0" encoding="utf-8"?>
<ds:datastoreItem xmlns:ds="http://schemas.openxmlformats.org/officeDocument/2006/customXml" ds:itemID="{6160C089-B12C-4590-9EF3-D33AD6BEC8B7}">
  <ds:schemaRefs/>
</ds:datastoreItem>
</file>

<file path=customXml/itemProps92.xml><?xml version="1.0" encoding="utf-8"?>
<ds:datastoreItem xmlns:ds="http://schemas.openxmlformats.org/officeDocument/2006/customXml" ds:itemID="{DC896CF4-4D89-4FF7-BCC4-6434E3A523D4}">
  <ds:schemaRefs/>
</ds:datastoreItem>
</file>

<file path=customXml/itemProps93.xml><?xml version="1.0" encoding="utf-8"?>
<ds:datastoreItem xmlns:ds="http://schemas.openxmlformats.org/officeDocument/2006/customXml" ds:itemID="{44E2B3E8-3CF3-414F-874B-F6ECD3DE9206}">
  <ds:schemaRefs/>
</ds:datastoreItem>
</file>

<file path=customXml/itemProps94.xml><?xml version="1.0" encoding="utf-8"?>
<ds:datastoreItem xmlns:ds="http://schemas.openxmlformats.org/officeDocument/2006/customXml" ds:itemID="{7BB08D40-A102-4739-8905-135498CE4E2B}">
  <ds:schemaRefs/>
</ds:datastoreItem>
</file>

<file path=customXml/itemProps95.xml><?xml version="1.0" encoding="utf-8"?>
<ds:datastoreItem xmlns:ds="http://schemas.openxmlformats.org/officeDocument/2006/customXml" ds:itemID="{FCA083FC-4784-4775-AD29-F72A36E0E835}">
  <ds:schemaRefs/>
</ds:datastoreItem>
</file>

<file path=docProps/app.xml><?xml version="1.0" encoding="utf-8"?>
<Properties xmlns="http://schemas.openxmlformats.org/officeDocument/2006/extended-properties" xmlns:vt="http://schemas.openxmlformats.org/officeDocument/2006/docPropsVTypes">
  <Template>Normal</Template>
  <Pages>97</Pages>
  <Words>7054</Words>
  <Characters>40214</Characters>
  <Lines>335</Lines>
  <Paragraphs>94</Paragraphs>
  <TotalTime>3</TotalTime>
  <ScaleCrop>false</ScaleCrop>
  <LinksUpToDate>false</LinksUpToDate>
  <CharactersWithSpaces>47174</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2023-02-07T06:51:00Z</dcterms:created>
  <dc:creator>Administrator</dc:creator>
  <cp:lastModifiedBy>风雨</cp:lastModifiedBy>
  <dcterms:modified xsi:type="dcterms:W3CDTF">2023-02-06T02:42:37Z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ies>
</file>